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D735B2">
      <w:pPr>
        <w:pStyle w:val="6"/>
        <w:spacing w:line="240" w:lineRule="auto"/>
        <w:ind w:left="10773" w:right="-924" w:rightChars="-420"/>
        <w:rPr>
          <w:rFonts w:hint="default" w:ascii="Times New Roman" w:hAnsi="Times New Roman" w:eastAsia="Times New Roman" w:cs="Times New Roman"/>
          <w:bCs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Cs/>
          <w:sz w:val="28"/>
          <w:szCs w:val="28"/>
        </w:rPr>
        <w:t>Додаток 3</w:t>
      </w:r>
    </w:p>
    <w:p w14:paraId="28CA39B9">
      <w:pPr>
        <w:pStyle w:val="6"/>
        <w:spacing w:line="240" w:lineRule="auto"/>
        <w:ind w:left="10773" w:right="-924" w:rightChars="-420"/>
        <w:rPr>
          <w:rFonts w:hint="default" w:ascii="Times New Roman" w:hAnsi="Times New Roman" w:eastAsia="Times New Roman" w:cs="Times New Roman"/>
          <w:bCs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Cs/>
          <w:sz w:val="28"/>
          <w:szCs w:val="28"/>
        </w:rPr>
        <w:t>до Розпорядження начальника</w:t>
      </w:r>
    </w:p>
    <w:p w14:paraId="46620A7A">
      <w:pPr>
        <w:pStyle w:val="6"/>
        <w:spacing w:line="240" w:lineRule="auto"/>
        <w:ind w:left="10773" w:right="-924" w:rightChars="-420"/>
        <w:rPr>
          <w:rFonts w:hint="default" w:ascii="Times New Roman" w:hAnsi="Times New Roman" w:eastAsia="Times New Roman" w:cs="Times New Roman"/>
          <w:bCs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Cs/>
          <w:sz w:val="28"/>
          <w:szCs w:val="28"/>
        </w:rPr>
        <w:t>обласної військової адміністрації</w:t>
      </w:r>
    </w:p>
    <w:p w14:paraId="4A119D85">
      <w:pPr>
        <w:pStyle w:val="6"/>
        <w:spacing w:line="240" w:lineRule="auto"/>
        <w:ind w:left="10773" w:right="-924" w:rightChars="-420"/>
        <w:rPr>
          <w:rFonts w:hint="default" w:ascii="Times New Roman" w:hAnsi="Times New Roman" w:eastAsia="Times New Roman" w:cs="Times New Roman"/>
          <w:bCs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Cs/>
          <w:sz w:val="28"/>
          <w:szCs w:val="28"/>
        </w:rPr>
        <w:t>від _________№______</w:t>
      </w:r>
    </w:p>
    <w:p w14:paraId="21C9B430">
      <w:pPr>
        <w:pStyle w:val="6"/>
        <w:spacing w:line="240" w:lineRule="auto"/>
        <w:ind w:left="10773" w:right="-924" w:rightChars="-420"/>
        <w:rPr>
          <w:rFonts w:hint="default" w:ascii="Times New Roman" w:hAnsi="Times New Roman" w:eastAsia="Times New Roman" w:cs="Times New Roman"/>
          <w:bCs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Cs/>
          <w:sz w:val="28"/>
          <w:szCs w:val="28"/>
        </w:rPr>
        <w:t>(Додаток 2.5 до Програми)</w:t>
      </w:r>
    </w:p>
    <w:p w14:paraId="55B002EC">
      <w:pPr>
        <w:pStyle w:val="6"/>
        <w:spacing w:line="240" w:lineRule="auto"/>
        <w:ind w:right="-220" w:rightChars="-100" w:firstLine="567"/>
        <w:jc w:val="right"/>
        <w:rPr>
          <w:rFonts w:hint="default" w:ascii="Times New Roman" w:hAnsi="Times New Roman" w:eastAsia="Times New Roman" w:cs="Times New Roman"/>
          <w:bCs/>
          <w:sz w:val="28"/>
          <w:szCs w:val="28"/>
        </w:rPr>
      </w:pPr>
    </w:p>
    <w:p w14:paraId="5FC8D12E">
      <w:pPr>
        <w:pStyle w:val="6"/>
        <w:spacing w:line="240" w:lineRule="auto"/>
        <w:ind w:firstLine="567"/>
        <w:jc w:val="center"/>
        <w:rPr>
          <w:rFonts w:hint="default" w:ascii="Times New Roman" w:hAnsi="Times New Roman" w:eastAsia="Times New Roman" w:cs="Times New Roman"/>
          <w:b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sz w:val="24"/>
          <w:szCs w:val="24"/>
        </w:rPr>
        <w:t xml:space="preserve">Перелік завдань, заходів та показників на 2026 рік Програми відновлення, збереження національної пам’яті  </w:t>
      </w:r>
    </w:p>
    <w:p w14:paraId="52EE6E24">
      <w:pPr>
        <w:pStyle w:val="6"/>
        <w:spacing w:line="240" w:lineRule="auto"/>
        <w:ind w:firstLine="567"/>
        <w:jc w:val="center"/>
        <w:rPr>
          <w:rFonts w:hint="default" w:ascii="Times New Roman" w:hAnsi="Times New Roman" w:eastAsia="Times New Roman" w:cs="Times New Roman"/>
          <w:b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sz w:val="24"/>
          <w:szCs w:val="24"/>
        </w:rPr>
        <w:t>та протокольних заходів на 2021-2026 роки</w:t>
      </w:r>
    </w:p>
    <w:tbl>
      <w:tblPr>
        <w:tblStyle w:val="3"/>
        <w:tblW w:w="15643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"/>
        <w:gridCol w:w="2510"/>
        <w:gridCol w:w="2570"/>
        <w:gridCol w:w="3372"/>
        <w:gridCol w:w="1884"/>
        <w:gridCol w:w="1440"/>
        <w:gridCol w:w="1296"/>
        <w:gridCol w:w="2178"/>
      </w:tblGrid>
      <w:tr w14:paraId="6024FFA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393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C9B82C">
            <w:pPr>
              <w:widowControl w:val="0"/>
              <w:spacing w:line="240" w:lineRule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>№</w:t>
            </w:r>
          </w:p>
          <w:p w14:paraId="548D9277">
            <w:pPr>
              <w:widowControl w:val="0"/>
              <w:spacing w:line="240" w:lineRule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251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CCC9F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 xml:space="preserve">Назва завдання </w:t>
            </w:r>
          </w:p>
        </w:tc>
        <w:tc>
          <w:tcPr>
            <w:tcW w:w="257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D28FC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 xml:space="preserve">Перелік заходів завдання </w:t>
            </w:r>
          </w:p>
        </w:tc>
        <w:tc>
          <w:tcPr>
            <w:tcW w:w="3372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96877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 xml:space="preserve">Показники виконання заходу, один. виміру </w:t>
            </w:r>
          </w:p>
        </w:tc>
        <w:tc>
          <w:tcPr>
            <w:tcW w:w="1884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E00A2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>Виконавець заходу показника</w:t>
            </w:r>
          </w:p>
        </w:tc>
        <w:tc>
          <w:tcPr>
            <w:tcW w:w="2736" w:type="dxa"/>
            <w:gridSpan w:val="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B8E4D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 xml:space="preserve">Фінансування </w:t>
            </w:r>
          </w:p>
        </w:tc>
        <w:tc>
          <w:tcPr>
            <w:tcW w:w="2178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40B30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>Очікуваний результат</w:t>
            </w:r>
          </w:p>
        </w:tc>
      </w:tr>
      <w:tr w14:paraId="2EC2716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393" w:type="dxa"/>
            <w:vMerge w:val="continu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D1334">
            <w:pPr>
              <w:widowControl w:val="0"/>
              <w:spacing w:line="240" w:lineRule="auto"/>
              <w:ind w:firstLine="567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510" w:type="dxa"/>
            <w:vMerge w:val="continu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EF168">
            <w:pPr>
              <w:widowControl w:val="0"/>
              <w:spacing w:line="240" w:lineRule="auto"/>
              <w:ind w:firstLine="567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570" w:type="dxa"/>
            <w:vMerge w:val="continu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806D6">
            <w:pPr>
              <w:widowControl w:val="0"/>
              <w:spacing w:line="240" w:lineRule="auto"/>
              <w:ind w:firstLine="567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3372" w:type="dxa"/>
            <w:vMerge w:val="continu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D36A2F">
            <w:pPr>
              <w:widowControl w:val="0"/>
              <w:spacing w:line="240" w:lineRule="auto"/>
              <w:ind w:firstLine="567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1884" w:type="dxa"/>
            <w:vMerge w:val="continu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9E4E8">
            <w:pPr>
              <w:widowControl w:val="0"/>
              <w:spacing w:line="240" w:lineRule="auto"/>
              <w:ind w:firstLine="567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C524C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>джерела</w:t>
            </w:r>
          </w:p>
        </w:tc>
        <w:tc>
          <w:tcPr>
            <w:tcW w:w="129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67BEF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>обсяги тис. грн</w:t>
            </w:r>
          </w:p>
        </w:tc>
        <w:tc>
          <w:tcPr>
            <w:tcW w:w="2178" w:type="dxa"/>
            <w:vMerge w:val="continu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4B49C">
            <w:pPr>
              <w:widowControl w:val="0"/>
              <w:spacing w:line="240" w:lineRule="auto"/>
              <w:ind w:firstLine="567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</w:tr>
      <w:tr w14:paraId="32D7D49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15643" w:type="dxa"/>
            <w:gridSpan w:val="8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B94E4">
            <w:pPr>
              <w:widowControl w:val="0"/>
              <w:spacing w:line="240" w:lineRule="auto"/>
              <w:ind w:firstLine="567"/>
              <w:jc w:val="center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6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 xml:space="preserve"> рік</w:t>
            </w:r>
          </w:p>
        </w:tc>
      </w:tr>
      <w:tr w14:paraId="7A4C5D2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3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7B831">
            <w:pPr>
              <w:widowControl w:val="0"/>
              <w:numPr>
                <w:ilvl w:val="0"/>
                <w:numId w:val="1"/>
              </w:numPr>
              <w:spacing w:line="240" w:lineRule="auto"/>
              <w:ind w:left="0" w:right="-5" w:firstLine="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FC2FE">
            <w:pPr>
              <w:spacing w:line="240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Проведення заходів з нагоди державних свят, знаменних дат місцевого значення та видатних особистостей  державотворення</w:t>
            </w:r>
          </w:p>
          <w:p w14:paraId="63DD37C6">
            <w:pPr>
              <w:pStyle w:val="6"/>
              <w:widowControl w:val="0"/>
              <w:spacing w:line="240" w:lineRule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570" w:type="dxa"/>
            <w:tcBorders>
              <w:bottom w:val="single" w:color="auto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E377A">
            <w:pPr>
              <w:pStyle w:val="6"/>
              <w:widowControl w:val="0"/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1. Проведення заходів меморіального, церемоніального та комеморативного характеру (заходи державного та місцевого значення)</w:t>
            </w:r>
          </w:p>
          <w:p w14:paraId="62919B5C">
            <w:pPr>
              <w:pStyle w:val="6"/>
              <w:widowControl w:val="0"/>
              <w:spacing w:line="240" w:lineRule="auto"/>
              <w:ind w:left="-3"/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  <w:p w14:paraId="24D3867F">
            <w:pPr>
              <w:pStyle w:val="6"/>
              <w:widowControl w:val="0"/>
              <w:spacing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72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2C6C8">
            <w:pPr>
              <w:pStyle w:val="6"/>
              <w:widowControl w:val="0"/>
              <w:spacing w:line="240" w:lineRule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i/>
                <w:sz w:val="24"/>
                <w:szCs w:val="24"/>
              </w:rPr>
              <w:t>З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>атрат</w:t>
            </w:r>
          </w:p>
          <w:p w14:paraId="0E75530C">
            <w:pPr>
              <w:pStyle w:val="6"/>
              <w:widowControl w:val="0"/>
              <w:spacing w:line="240" w:lineRule="auto"/>
              <w:rPr>
                <w:rFonts w:hint="default" w:ascii="Times New Roman" w:hAnsi="Times New Roman" w:eastAsia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i/>
                <w:iCs/>
                <w:sz w:val="24"/>
                <w:szCs w:val="24"/>
              </w:rPr>
              <w:t>обсяг фінансового ресурсу, спрямованого на проведення заходів, тис.грн</w:t>
            </w:r>
          </w:p>
          <w:p w14:paraId="10B247AA">
            <w:pPr>
              <w:pStyle w:val="6"/>
              <w:widowControl w:val="0"/>
              <w:spacing w:line="240" w:lineRule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>Продукту</w:t>
            </w:r>
          </w:p>
          <w:p w14:paraId="745261AD">
            <w:pPr>
              <w:pStyle w:val="6"/>
              <w:widowControl w:val="0"/>
              <w:spacing w:line="240" w:lineRule="auto"/>
              <w:rPr>
                <w:rFonts w:hint="default" w:ascii="Times New Roman" w:hAnsi="Times New Roman" w:eastAsia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i/>
                <w:iCs/>
                <w:sz w:val="24"/>
                <w:szCs w:val="24"/>
              </w:rPr>
              <w:t>кількість проведених заходів, од.</w:t>
            </w:r>
          </w:p>
          <w:p w14:paraId="1BCE8E9D">
            <w:pPr>
              <w:pStyle w:val="6"/>
              <w:widowControl w:val="0"/>
              <w:spacing w:line="240" w:lineRule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>Ефективності</w:t>
            </w:r>
          </w:p>
          <w:p w14:paraId="394B6C99">
            <w:pPr>
              <w:pStyle w:val="6"/>
              <w:widowControl w:val="0"/>
              <w:spacing w:line="240" w:lineRule="auto"/>
              <w:rPr>
                <w:rFonts w:hint="default" w:ascii="Times New Roman" w:hAnsi="Times New Roman" w:eastAsia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i/>
                <w:iCs/>
                <w:sz w:val="24"/>
                <w:szCs w:val="24"/>
              </w:rPr>
              <w:t>середня вартість проведення одного заходу, тис. грн</w:t>
            </w:r>
          </w:p>
          <w:p w14:paraId="281FE4D7">
            <w:pPr>
              <w:pStyle w:val="6"/>
              <w:widowControl w:val="0"/>
              <w:spacing w:line="240" w:lineRule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>Якості</w:t>
            </w:r>
          </w:p>
          <w:p w14:paraId="368B64F2">
            <w:pPr>
              <w:pStyle w:val="6"/>
              <w:widowControl w:val="0"/>
              <w:spacing w:line="240" w:lineRule="auto"/>
              <w:rPr>
                <w:rFonts w:hint="default" w:ascii="Times New Roman" w:hAnsi="Times New Roman" w:eastAsia="Times New Roman" w:cs="Times New Roman"/>
                <w:b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i/>
                <w:iCs/>
                <w:sz w:val="24"/>
                <w:szCs w:val="24"/>
              </w:rPr>
              <w:t>відсоток виконання запланованих заходів, %</w:t>
            </w:r>
          </w:p>
        </w:tc>
        <w:tc>
          <w:tcPr>
            <w:tcW w:w="1884" w:type="dxa"/>
            <w:tcBorders>
              <w:top w:val="single" w:color="000000" w:sz="8" w:space="0"/>
              <w:left w:val="nil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C4454">
            <w:pPr>
              <w:pStyle w:val="6"/>
              <w:widowControl w:val="0"/>
              <w:spacing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CF1C8">
            <w:pPr>
              <w:pStyle w:val="6"/>
              <w:widowControl w:val="0"/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296" w:type="dxa"/>
            <w:tcBorders>
              <w:top w:val="single" w:color="000000" w:sz="8" w:space="0"/>
              <w:left w:val="nil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18CF71">
            <w:pPr>
              <w:pStyle w:val="6"/>
              <w:widowControl w:val="0"/>
              <w:spacing w:line="240" w:lineRule="auto"/>
              <w:ind w:left="10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1000,00</w:t>
            </w:r>
          </w:p>
        </w:tc>
        <w:tc>
          <w:tcPr>
            <w:tcW w:w="21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62BE9">
            <w:pPr>
              <w:pStyle w:val="6"/>
              <w:widowControl w:val="0"/>
              <w:spacing w:line="240" w:lineRule="auto"/>
              <w:ind w:left="59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Належне виконання </w:t>
            </w:r>
          </w:p>
          <w:p w14:paraId="38087197">
            <w:pPr>
              <w:pStyle w:val="6"/>
              <w:widowControl w:val="0"/>
              <w:spacing w:line="240" w:lineRule="auto"/>
              <w:ind w:left="59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указів Президента України, Постанов Верховної Ради України, рішень Львівської обласної ради, гідне відзначення державних та місцевих свят, пам’ятних дат, історичних подій та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вшанування визначних осіб українського державотворення</w:t>
            </w:r>
          </w:p>
        </w:tc>
      </w:tr>
      <w:tr w14:paraId="032AB0D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0" w:hRule="atLeast"/>
          <w:jc w:val="center"/>
        </w:trPr>
        <w:tc>
          <w:tcPr>
            <w:tcW w:w="3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075F6">
            <w:pPr>
              <w:widowControl w:val="0"/>
              <w:numPr>
                <w:ilvl w:val="0"/>
                <w:numId w:val="1"/>
              </w:numPr>
              <w:spacing w:line="240" w:lineRule="auto"/>
              <w:ind w:left="0" w:right="-5" w:firstLine="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91A4CE">
            <w:pPr>
              <w:pStyle w:val="6"/>
              <w:widowControl w:val="0"/>
              <w:spacing w:line="240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>Вшанування пам’яті визначних осіб, відзначення пам’ятних дат та пам’ятних місць за кордоном</w:t>
            </w:r>
          </w:p>
        </w:tc>
        <w:tc>
          <w:tcPr>
            <w:tcW w:w="2570" w:type="dxa"/>
            <w:tcBorders>
              <w:bottom w:val="single" w:color="auto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41B9B">
            <w:pPr>
              <w:pStyle w:val="6"/>
              <w:widowControl w:val="0"/>
              <w:spacing w:line="240" w:lineRule="auto"/>
              <w:ind w:left="90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1.Проведення заходів з нагоди вшанування пам’яті визначних осіб, відзначення пам’ятних дат та пам’ятних місць за кордоном</w:t>
            </w:r>
          </w:p>
        </w:tc>
        <w:tc>
          <w:tcPr>
            <w:tcW w:w="3372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95642">
            <w:pPr>
              <w:pStyle w:val="6"/>
              <w:widowControl w:val="0"/>
              <w:spacing w:line="240" w:lineRule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i/>
                <w:sz w:val="24"/>
                <w:szCs w:val="24"/>
              </w:rPr>
              <w:t>З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>атрат</w:t>
            </w:r>
          </w:p>
          <w:p w14:paraId="5DAC46E5">
            <w:pPr>
              <w:pStyle w:val="6"/>
              <w:widowControl w:val="0"/>
              <w:spacing w:line="240" w:lineRule="auto"/>
              <w:rPr>
                <w:rFonts w:hint="default" w:ascii="Times New Roman" w:hAnsi="Times New Roman" w:eastAsia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i/>
                <w:iCs/>
                <w:sz w:val="24"/>
                <w:szCs w:val="24"/>
              </w:rPr>
              <w:t>обсяг фінансового ресурсу, спрямованого на проведення заходів, тис.грн</w:t>
            </w:r>
          </w:p>
          <w:p w14:paraId="7FC4A418">
            <w:pPr>
              <w:pStyle w:val="6"/>
              <w:widowControl w:val="0"/>
              <w:spacing w:line="240" w:lineRule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>Продукту</w:t>
            </w:r>
          </w:p>
          <w:p w14:paraId="414D6CEA">
            <w:pPr>
              <w:pStyle w:val="6"/>
              <w:widowControl w:val="0"/>
              <w:spacing w:line="240" w:lineRule="auto"/>
              <w:rPr>
                <w:rFonts w:hint="default" w:ascii="Times New Roman" w:hAnsi="Times New Roman" w:eastAsia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i/>
                <w:iCs/>
                <w:sz w:val="24"/>
                <w:szCs w:val="24"/>
              </w:rPr>
              <w:t>кількість проведених заходів, од.</w:t>
            </w:r>
          </w:p>
          <w:p w14:paraId="5C14FD0F">
            <w:pPr>
              <w:pStyle w:val="6"/>
              <w:widowControl w:val="0"/>
              <w:spacing w:line="240" w:lineRule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>Ефективності</w:t>
            </w:r>
          </w:p>
          <w:p w14:paraId="4DC2652F">
            <w:pPr>
              <w:pStyle w:val="6"/>
              <w:widowControl w:val="0"/>
              <w:spacing w:line="240" w:lineRule="auto"/>
              <w:rPr>
                <w:rFonts w:hint="default" w:ascii="Times New Roman" w:hAnsi="Times New Roman" w:eastAsia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i/>
                <w:iCs/>
                <w:sz w:val="24"/>
                <w:szCs w:val="24"/>
              </w:rPr>
              <w:t>середня вартість проведення одного заходу, тис. грн</w:t>
            </w:r>
          </w:p>
          <w:p w14:paraId="09E7682E">
            <w:pPr>
              <w:pStyle w:val="6"/>
              <w:widowControl w:val="0"/>
              <w:spacing w:line="240" w:lineRule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>Якості</w:t>
            </w:r>
          </w:p>
          <w:p w14:paraId="74217740">
            <w:pPr>
              <w:pStyle w:val="6"/>
              <w:widowControl w:val="0"/>
              <w:spacing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i/>
                <w:iCs/>
                <w:sz w:val="24"/>
                <w:szCs w:val="24"/>
              </w:rPr>
              <w:t>відсоток виконання запланованих заходів, %</w:t>
            </w:r>
          </w:p>
        </w:tc>
        <w:tc>
          <w:tcPr>
            <w:tcW w:w="1884" w:type="dxa"/>
            <w:tcBorders>
              <w:top w:val="single" w:color="000000" w:sz="8" w:space="0"/>
              <w:left w:val="nil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D2085">
            <w:pPr>
              <w:pStyle w:val="6"/>
              <w:widowControl w:val="0"/>
              <w:spacing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4483C">
            <w:pPr>
              <w:pStyle w:val="6"/>
              <w:widowControl w:val="0"/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296" w:type="dxa"/>
            <w:tcBorders>
              <w:top w:val="single" w:color="000000" w:sz="8" w:space="0"/>
              <w:left w:val="nil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121F0">
            <w:pPr>
              <w:pStyle w:val="6"/>
              <w:widowControl w:val="0"/>
              <w:spacing w:line="240" w:lineRule="auto"/>
              <w:ind w:left="10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>250,00</w:t>
            </w:r>
          </w:p>
        </w:tc>
        <w:tc>
          <w:tcPr>
            <w:tcW w:w="21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4B81F">
            <w:pPr>
              <w:pStyle w:val="6"/>
              <w:widowControl w:val="0"/>
              <w:spacing w:line="240" w:lineRule="auto"/>
              <w:ind w:left="59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Організація та проведення на належному рівні заходів з вшанування пам’яті визначних осіб, відзначення пам’ятних дат та місць за кордоном</w:t>
            </w:r>
          </w:p>
        </w:tc>
      </w:tr>
      <w:tr w14:paraId="791DA04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  <w:jc w:val="center"/>
        </w:trPr>
        <w:tc>
          <w:tcPr>
            <w:tcW w:w="393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BC899">
            <w:pPr>
              <w:widowControl w:val="0"/>
              <w:numPr>
                <w:ilvl w:val="0"/>
                <w:numId w:val="1"/>
              </w:numPr>
              <w:spacing w:line="240" w:lineRule="auto"/>
              <w:ind w:left="0" w:right="-5" w:firstLine="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51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65579">
            <w:pPr>
              <w:spacing w:after="0" w:line="240" w:lineRule="auto"/>
              <w:rPr>
                <w:rFonts w:hint="default" w:ascii="Times New Roman" w:hAnsi="Times New Roman" w:eastAsia="Arial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b/>
                <w:sz w:val="24"/>
                <w:szCs w:val="24"/>
              </w:rPr>
              <w:t xml:space="preserve">Сприяння та підтримка наукових досліджень української історії </w:t>
            </w:r>
          </w:p>
        </w:tc>
        <w:tc>
          <w:tcPr>
            <w:tcW w:w="2570" w:type="dxa"/>
            <w:tcBorders>
              <w:bottom w:val="single" w:color="auto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0C07C">
            <w:pPr>
              <w:pStyle w:val="6"/>
              <w:widowControl w:val="0"/>
              <w:numPr>
                <w:ilvl w:val="0"/>
                <w:numId w:val="2"/>
              </w:numPr>
              <w:spacing w:line="240" w:lineRule="auto"/>
              <w:ind w:left="90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Виплата обласної премії імені Героя України Степана Бандери</w:t>
            </w:r>
          </w:p>
        </w:tc>
        <w:tc>
          <w:tcPr>
            <w:tcW w:w="3372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57D95">
            <w:pPr>
              <w:pStyle w:val="6"/>
              <w:widowControl w:val="0"/>
              <w:spacing w:line="240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Затрат </w:t>
            </w:r>
          </w:p>
          <w:p w14:paraId="2A52F07D">
            <w:pPr>
              <w:pStyle w:val="6"/>
              <w:widowControl w:val="0"/>
              <w:spacing w:line="240" w:lineRule="auto"/>
              <w:rPr>
                <w:rFonts w:hint="default"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i/>
                <w:iCs/>
                <w:sz w:val="24"/>
                <w:szCs w:val="24"/>
              </w:rPr>
              <w:t>обсяг фінансового ресурсу, спрямованого на  виплату премії, тис. грн</w:t>
            </w:r>
          </w:p>
          <w:p w14:paraId="404D09BF">
            <w:pPr>
              <w:pStyle w:val="6"/>
              <w:widowControl w:val="0"/>
              <w:spacing w:line="240" w:lineRule="auto"/>
              <w:rPr>
                <w:rFonts w:hint="default"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Продукту</w:t>
            </w: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5BE72C79">
            <w:pPr>
              <w:pStyle w:val="6"/>
              <w:widowControl w:val="0"/>
              <w:spacing w:line="240" w:lineRule="auto"/>
              <w:rPr>
                <w:rFonts w:hint="default"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i/>
                <w:iCs/>
                <w:sz w:val="24"/>
                <w:szCs w:val="24"/>
              </w:rPr>
              <w:t>кількість переможців премії  од.</w:t>
            </w:r>
          </w:p>
          <w:p w14:paraId="3830842D">
            <w:pPr>
              <w:pStyle w:val="6"/>
              <w:widowControl w:val="0"/>
              <w:spacing w:line="240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Ефективності </w:t>
            </w:r>
          </w:p>
          <w:p w14:paraId="6D6B97A2">
            <w:pPr>
              <w:pStyle w:val="6"/>
              <w:widowControl w:val="0"/>
              <w:spacing w:line="240" w:lineRule="auto"/>
              <w:rPr>
                <w:rFonts w:hint="default"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i/>
                <w:iCs/>
                <w:sz w:val="24"/>
                <w:szCs w:val="24"/>
                <w:lang w:val="uk-UA"/>
              </w:rPr>
              <w:t>с</w:t>
            </w:r>
            <w:r>
              <w:rPr>
                <w:rFonts w:hint="default" w:ascii="Times New Roman" w:hAnsi="Times New Roman" w:cs="Times New Roman"/>
                <w:bCs/>
                <w:i/>
                <w:iCs/>
                <w:sz w:val="24"/>
                <w:szCs w:val="24"/>
              </w:rPr>
              <w:t>ередн</w:t>
            </w:r>
            <w:r>
              <w:rPr>
                <w:rFonts w:hint="default" w:ascii="Times New Roman" w:hAnsi="Times New Roman" w:cs="Times New Roman"/>
                <w:bCs/>
                <w:i/>
                <w:iCs/>
                <w:sz w:val="24"/>
                <w:szCs w:val="24"/>
                <w:lang w:val="uk-UA"/>
              </w:rPr>
              <w:t xml:space="preserve">ій розмір </w:t>
            </w:r>
            <w:r>
              <w:rPr>
                <w:rFonts w:hint="default" w:ascii="Times New Roman" w:hAnsi="Times New Roman" w:cs="Times New Roman"/>
                <w:bCs/>
                <w:i/>
                <w:iCs/>
                <w:sz w:val="24"/>
                <w:szCs w:val="24"/>
              </w:rPr>
              <w:t>однієї премії, тис. грн</w:t>
            </w:r>
          </w:p>
          <w:p w14:paraId="5CC3E1C0">
            <w:pPr>
              <w:pStyle w:val="6"/>
              <w:widowControl w:val="0"/>
              <w:spacing w:line="240" w:lineRule="auto"/>
              <w:rPr>
                <w:rFonts w:hint="default"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Якості</w:t>
            </w: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01FE6E69">
            <w:pPr>
              <w:pStyle w:val="6"/>
              <w:widowControl w:val="0"/>
              <w:spacing w:line="240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i/>
                <w:iCs/>
                <w:sz w:val="24"/>
                <w:szCs w:val="24"/>
              </w:rPr>
              <w:t>відсоток виплачених премій, %</w:t>
            </w:r>
          </w:p>
        </w:tc>
        <w:tc>
          <w:tcPr>
            <w:tcW w:w="1884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28B46">
            <w:pPr>
              <w:pStyle w:val="6"/>
              <w:widowControl w:val="0"/>
              <w:spacing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22C6B">
            <w:pPr>
              <w:pStyle w:val="6"/>
              <w:widowControl w:val="0"/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296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196AC">
            <w:pPr>
              <w:pStyle w:val="6"/>
              <w:widowControl w:val="0"/>
              <w:spacing w:line="240" w:lineRule="auto"/>
              <w:ind w:left="10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2178" w:type="dxa"/>
            <w:tcBorders>
              <w:bottom w:val="single" w:color="auto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530A2">
            <w:pPr>
              <w:pStyle w:val="6"/>
              <w:widowControl w:val="0"/>
              <w:spacing w:line="240" w:lineRule="auto"/>
              <w:ind w:left="59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Виконання рішення Львівської обласної ради від 16.03.2012 №423</w:t>
            </w:r>
          </w:p>
        </w:tc>
      </w:tr>
      <w:tr w14:paraId="16368B1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393" w:type="dxa"/>
            <w:vMerge w:val="continu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B8312B">
            <w:pPr>
              <w:widowControl w:val="0"/>
              <w:numPr>
                <w:ilvl w:val="0"/>
                <w:numId w:val="1"/>
              </w:numPr>
              <w:spacing w:line="240" w:lineRule="auto"/>
              <w:ind w:left="90" w:right="-5" w:firstLine="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510" w:type="dxa"/>
            <w:vMerge w:val="continu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89968">
            <w:pPr>
              <w:spacing w:after="0" w:line="240" w:lineRule="auto"/>
              <w:rPr>
                <w:rFonts w:hint="default" w:ascii="Times New Roman" w:hAnsi="Times New Roman" w:eastAsia="Arial" w:cs="Times New Roman"/>
                <w:b/>
                <w:sz w:val="24"/>
                <w:szCs w:val="24"/>
              </w:rPr>
            </w:pPr>
          </w:p>
        </w:tc>
        <w:tc>
          <w:tcPr>
            <w:tcW w:w="2570" w:type="dxa"/>
            <w:tcBorders>
              <w:top w:val="single" w:color="auto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A5AF8A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</w:rPr>
              <w:t xml:space="preserve">2. Проведення заходів з дослідження та популяризації української історії </w:t>
            </w:r>
          </w:p>
        </w:tc>
        <w:tc>
          <w:tcPr>
            <w:tcW w:w="3372" w:type="dxa"/>
            <w:tcBorders>
              <w:top w:val="single" w:color="auto" w:sz="4" w:space="0"/>
              <w:left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F88DD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Затрат</w:t>
            </w:r>
          </w:p>
          <w:p w14:paraId="30365DDC">
            <w:pPr>
              <w:spacing w:line="240" w:lineRule="auto"/>
              <w:ind w:left="-62" w:right="86"/>
              <w:contextualSpacing/>
              <w:textAlignment w:val="baseline"/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обсяг фінансового ресурсу, спрямованого на проведення заходів, тис.грн</w:t>
            </w:r>
          </w:p>
          <w:p w14:paraId="22313F0B">
            <w:pPr>
              <w:spacing w:after="0" w:line="240" w:lineRule="auto"/>
              <w:ind w:left="-62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Продукту</w:t>
            </w:r>
          </w:p>
          <w:p w14:paraId="7F848F19">
            <w:pPr>
              <w:spacing w:line="240" w:lineRule="auto"/>
              <w:ind w:left="-62"/>
              <w:contextualSpacing/>
              <w:textAlignment w:val="baseline"/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кількість проведених заходів, од.</w:t>
            </w:r>
          </w:p>
          <w:p w14:paraId="33EBD44C">
            <w:pPr>
              <w:spacing w:after="0" w:line="240" w:lineRule="auto"/>
              <w:ind w:left="-62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Ефективності</w:t>
            </w:r>
          </w:p>
          <w:p w14:paraId="39486084">
            <w:pPr>
              <w:spacing w:line="240" w:lineRule="auto"/>
              <w:ind w:left="-62"/>
              <w:contextualSpacing/>
              <w:textAlignment w:val="baseline"/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середня вартість проведення одного заходу, тис. грн</w:t>
            </w:r>
          </w:p>
          <w:p w14:paraId="042933E8">
            <w:pPr>
              <w:spacing w:after="0" w:line="240" w:lineRule="auto"/>
              <w:ind w:left="-62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Якості</w:t>
            </w:r>
          </w:p>
          <w:p w14:paraId="1CF48A26">
            <w:pPr>
              <w:spacing w:after="0" w:line="240" w:lineRule="auto"/>
              <w:ind w:left="-62"/>
              <w:rPr>
                <w:rFonts w:hint="default" w:ascii="Times New Roman" w:hAnsi="Times New Roman" w:eastAsia="Arial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відсоток виконання запланованих заходів, %</w:t>
            </w:r>
          </w:p>
        </w:tc>
        <w:tc>
          <w:tcPr>
            <w:tcW w:w="188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9DF0F">
            <w:pPr>
              <w:widowControl w:val="0"/>
              <w:spacing w:line="240" w:lineRule="auto"/>
              <w:ind w:left="100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493B1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73F64">
            <w:pPr>
              <w:widowControl w:val="0"/>
              <w:spacing w:line="240" w:lineRule="auto"/>
              <w:ind w:left="10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150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>,0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2178" w:type="dxa"/>
            <w:tcBorders>
              <w:top w:val="single" w:color="auto" w:sz="4" w:space="0"/>
              <w:bottom w:val="single" w:color="auto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ECF20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</w:rPr>
              <w:t>Належне виконання Закону України «Про правовий статус та вшанування пам’яті борців за незалежність України у ХХ столітті» від 9 квітня 2015 року №314-VIII,</w:t>
            </w:r>
          </w:p>
          <w:p w14:paraId="4C037B76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</w:rPr>
              <w:t>належне виконання Закону України «Про засади державної політики національної пам’яті Українського народу» від 21 серпня 2025 року № 4579-IX.</w:t>
            </w:r>
          </w:p>
        </w:tc>
      </w:tr>
      <w:tr w14:paraId="5A58916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393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A0473">
            <w:pPr>
              <w:widowControl w:val="0"/>
              <w:numPr>
                <w:ilvl w:val="0"/>
                <w:numId w:val="1"/>
              </w:numPr>
              <w:spacing w:line="240" w:lineRule="auto"/>
              <w:ind w:left="0" w:right="-5" w:firstLine="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51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9E073">
            <w:pPr>
              <w:spacing w:after="0" w:line="240" w:lineRule="auto"/>
              <w:rPr>
                <w:rFonts w:hint="default" w:ascii="Times New Roman" w:hAnsi="Times New Roman" w:eastAsia="Arial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b/>
                <w:sz w:val="24"/>
                <w:szCs w:val="24"/>
              </w:rPr>
              <w:t>Сприяння реалізації політики національної пам’яті у сфері увічнення пам’яті учасників національно-визвольної боротьби, жертв воєн, депортацій та політичних репресій</w:t>
            </w:r>
          </w:p>
        </w:tc>
        <w:tc>
          <w:tcPr>
            <w:tcW w:w="2570" w:type="dxa"/>
            <w:tcBorders>
              <w:top w:val="single" w:color="auto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C884B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</w:rPr>
              <w:t>1. Проведення пошуку і впорядкування поховань українців за кордоном</w:t>
            </w:r>
          </w:p>
        </w:tc>
        <w:tc>
          <w:tcPr>
            <w:tcW w:w="3372" w:type="dxa"/>
            <w:tcBorders>
              <w:top w:val="single" w:color="auto" w:sz="4" w:space="0"/>
              <w:left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042DA">
            <w:pPr>
              <w:spacing w:after="0" w:line="240" w:lineRule="auto"/>
              <w:ind w:left="-62"/>
              <w:rPr>
                <w:rFonts w:hint="default" w:ascii="Times New Roman" w:hAnsi="Times New Roman" w:eastAsia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Cs/>
                <w:color w:val="000000"/>
                <w:sz w:val="24"/>
                <w:szCs w:val="24"/>
              </w:rPr>
              <w:t>Затрат</w:t>
            </w:r>
          </w:p>
          <w:p w14:paraId="025369CD">
            <w:pPr>
              <w:spacing w:after="0" w:line="240" w:lineRule="auto"/>
              <w:ind w:left="-62"/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обсяг фінансового ресурсу спрямованого на заходи з пошуку поховань українців за кордоном та впорядкування поховань українців за кордоном, тис. грн</w:t>
            </w:r>
          </w:p>
          <w:p w14:paraId="28C08E78">
            <w:pPr>
              <w:spacing w:after="0" w:line="240" w:lineRule="auto"/>
              <w:ind w:left="-62"/>
              <w:rPr>
                <w:rFonts w:hint="default" w:ascii="Times New Roman" w:hAnsi="Times New Roman" w:eastAsia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Cs/>
                <w:color w:val="000000"/>
                <w:sz w:val="24"/>
                <w:szCs w:val="24"/>
              </w:rPr>
              <w:t>Продукту</w:t>
            </w:r>
          </w:p>
          <w:p w14:paraId="27CDAF5E">
            <w:pPr>
              <w:spacing w:after="0" w:line="240" w:lineRule="auto"/>
              <w:ind w:left="-62"/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кількість заходів з впорядкування кладовищ, пошуку останків і їх перепоховання, од</w:t>
            </w:r>
          </w:p>
          <w:p w14:paraId="0213CAB9">
            <w:pPr>
              <w:spacing w:after="0" w:line="240" w:lineRule="auto"/>
              <w:ind w:left="-62"/>
              <w:rPr>
                <w:rFonts w:hint="default" w:ascii="Times New Roman" w:hAnsi="Times New Roman" w:eastAsia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Cs/>
                <w:color w:val="000000"/>
                <w:sz w:val="24"/>
                <w:szCs w:val="24"/>
              </w:rPr>
              <w:t>Ефективності</w:t>
            </w:r>
          </w:p>
          <w:p w14:paraId="2DF64F47">
            <w:pPr>
              <w:spacing w:after="0" w:line="240" w:lineRule="auto"/>
              <w:ind w:left="-62"/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середня вартість проведення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 одного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 xml:space="preserve"> заход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lang w:val="uk-UA"/>
              </w:rPr>
              <w:t>у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, тис. грн</w:t>
            </w:r>
          </w:p>
          <w:p w14:paraId="1035261D">
            <w:pPr>
              <w:spacing w:after="0" w:line="240" w:lineRule="auto"/>
              <w:ind w:left="-62"/>
              <w:rPr>
                <w:rFonts w:hint="default" w:ascii="Times New Roman" w:hAnsi="Times New Roman" w:eastAsia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Cs/>
                <w:color w:val="000000"/>
                <w:sz w:val="24"/>
                <w:szCs w:val="24"/>
              </w:rPr>
              <w:t>Якості</w:t>
            </w:r>
          </w:p>
          <w:p w14:paraId="161E200C">
            <w:pPr>
              <w:spacing w:after="0" w:line="240" w:lineRule="auto"/>
              <w:ind w:left="-62"/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highlight w:val="yellow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відсоток виконання запланованих заході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lang w:val="uk-UA"/>
              </w:rPr>
              <w:t>в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, %.</w:t>
            </w:r>
          </w:p>
        </w:tc>
        <w:tc>
          <w:tcPr>
            <w:tcW w:w="188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E1051">
            <w:pPr>
              <w:widowControl w:val="0"/>
              <w:spacing w:line="240" w:lineRule="auto"/>
              <w:ind w:left="100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Департамент комунікацій та внутрішньої політики обласної державної адміністрації, КП ЛОР «Доля»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07AF2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A4D5C3">
            <w:pPr>
              <w:widowControl w:val="0"/>
              <w:spacing w:line="240" w:lineRule="auto"/>
              <w:ind w:left="10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>100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,00</w:t>
            </w:r>
          </w:p>
        </w:tc>
        <w:tc>
          <w:tcPr>
            <w:tcW w:w="2178" w:type="dxa"/>
            <w:tcBorders>
              <w:top w:val="single" w:color="auto" w:sz="4" w:space="0"/>
              <w:bottom w:val="single" w:color="auto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A7B2C"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Збереження національної пам’яті загиблих учасників національно- визвольної боротьби, жертв воєн, депортацій та політичних репресій за кордоном, шляхом проведення заходів з пошуку, ексгумації та перепоховання загиблих, впорядкування місць історичної пам’яті та поховань. </w:t>
            </w:r>
          </w:p>
        </w:tc>
      </w:tr>
      <w:tr w14:paraId="4FD3682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393" w:type="dxa"/>
            <w:vMerge w:val="continu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57831">
            <w:pPr>
              <w:widowControl w:val="0"/>
              <w:spacing w:line="240" w:lineRule="auto"/>
              <w:ind w:left="90" w:right="-5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510" w:type="dxa"/>
            <w:vMerge w:val="continu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16E36">
            <w:pPr>
              <w:spacing w:after="0" w:line="240" w:lineRule="auto"/>
              <w:rPr>
                <w:rFonts w:hint="default" w:ascii="Times New Roman" w:hAnsi="Times New Roman" w:eastAsia="Arial" w:cs="Times New Roman"/>
                <w:b/>
                <w:sz w:val="24"/>
                <w:szCs w:val="24"/>
              </w:rPr>
            </w:pPr>
          </w:p>
        </w:tc>
        <w:tc>
          <w:tcPr>
            <w:tcW w:w="2570" w:type="dxa"/>
            <w:tcBorders>
              <w:top w:val="single" w:color="auto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B290F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</w:rPr>
              <w:t xml:space="preserve">2. Виготовлення і встановлення інформаційних таблиць  присвячених визначним подіям та постатям Львівщини </w:t>
            </w:r>
          </w:p>
        </w:tc>
        <w:tc>
          <w:tcPr>
            <w:tcW w:w="3372" w:type="dxa"/>
            <w:tcBorders>
              <w:top w:val="single" w:color="auto" w:sz="4" w:space="0"/>
              <w:left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3BC77">
            <w:pPr>
              <w:spacing w:after="0" w:line="240" w:lineRule="auto"/>
              <w:ind w:left="-62"/>
              <w:rPr>
                <w:rFonts w:hint="default" w:ascii="Times New Roman" w:hAnsi="Times New Roman" w:eastAsia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Cs/>
                <w:color w:val="000000"/>
                <w:sz w:val="24"/>
                <w:szCs w:val="24"/>
              </w:rPr>
              <w:t>Затрат</w:t>
            </w:r>
          </w:p>
          <w:p w14:paraId="282F384A">
            <w:pPr>
              <w:spacing w:after="0" w:line="240" w:lineRule="auto"/>
              <w:ind w:left="-62"/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обсяг фінансового ресурсу спрямованого на в</w:t>
            </w:r>
            <w:r>
              <w:rPr>
                <w:rFonts w:hint="default" w:ascii="Times New Roman" w:hAnsi="Times New Roman" w:eastAsia="Arial" w:cs="Times New Roman"/>
                <w:i/>
                <w:sz w:val="24"/>
                <w:szCs w:val="24"/>
              </w:rPr>
              <w:t xml:space="preserve">иготовлення і встановлення інформаційних таблиць  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, тис. грн</w:t>
            </w:r>
          </w:p>
          <w:p w14:paraId="7ED1C829">
            <w:pPr>
              <w:spacing w:after="0" w:line="240" w:lineRule="auto"/>
              <w:ind w:left="-62"/>
              <w:rPr>
                <w:rFonts w:hint="default" w:ascii="Times New Roman" w:hAnsi="Times New Roman" w:eastAsia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Cs/>
                <w:color w:val="000000"/>
                <w:sz w:val="24"/>
                <w:szCs w:val="24"/>
              </w:rPr>
              <w:t>Продукту</w:t>
            </w:r>
          </w:p>
          <w:p w14:paraId="0BE667BB">
            <w:pPr>
              <w:spacing w:after="0" w:line="240" w:lineRule="auto"/>
              <w:ind w:left="-62"/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кількість встановлених таблиць, од</w:t>
            </w:r>
          </w:p>
          <w:p w14:paraId="0B8B47A3">
            <w:pPr>
              <w:spacing w:after="0" w:line="240" w:lineRule="auto"/>
              <w:ind w:left="-62"/>
              <w:rPr>
                <w:rFonts w:hint="default" w:ascii="Times New Roman" w:hAnsi="Times New Roman" w:eastAsia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Cs/>
                <w:color w:val="000000"/>
                <w:sz w:val="24"/>
                <w:szCs w:val="24"/>
              </w:rPr>
              <w:t>Ефективності</w:t>
            </w:r>
          </w:p>
          <w:p w14:paraId="7C7FECEB">
            <w:pPr>
              <w:spacing w:after="0" w:line="240" w:lineRule="auto"/>
              <w:ind w:left="-62"/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середня вартість в</w:t>
            </w:r>
            <w:r>
              <w:rPr>
                <w:rFonts w:hint="default" w:ascii="Times New Roman" w:hAnsi="Times New Roman" w:eastAsia="Arial" w:cs="Times New Roman"/>
                <w:i/>
                <w:sz w:val="24"/>
                <w:szCs w:val="24"/>
              </w:rPr>
              <w:t xml:space="preserve">иготовлення і встановлення </w:t>
            </w:r>
            <w:r>
              <w:rPr>
                <w:rFonts w:hint="default" w:ascii="Times New Roman" w:hAnsi="Times New Roman" w:eastAsia="Arial" w:cs="Times New Roman"/>
                <w:i/>
                <w:sz w:val="24"/>
                <w:szCs w:val="24"/>
                <w:lang w:val="uk-UA"/>
              </w:rPr>
              <w:t xml:space="preserve">однієї </w:t>
            </w:r>
            <w:r>
              <w:rPr>
                <w:rFonts w:hint="default" w:ascii="Times New Roman" w:hAnsi="Times New Roman" w:eastAsia="Arial" w:cs="Times New Roman"/>
                <w:i/>
                <w:sz w:val="24"/>
                <w:szCs w:val="24"/>
              </w:rPr>
              <w:t>інформаційн</w:t>
            </w:r>
            <w:r>
              <w:rPr>
                <w:rFonts w:hint="default" w:ascii="Times New Roman" w:hAnsi="Times New Roman" w:eastAsia="Arial" w:cs="Times New Roman"/>
                <w:i/>
                <w:sz w:val="24"/>
                <w:szCs w:val="24"/>
                <w:lang w:val="uk-UA"/>
              </w:rPr>
              <w:t xml:space="preserve">ої </w:t>
            </w:r>
            <w:r>
              <w:rPr>
                <w:rFonts w:hint="default" w:ascii="Times New Roman" w:hAnsi="Times New Roman" w:eastAsia="Arial" w:cs="Times New Roman"/>
                <w:i/>
                <w:sz w:val="24"/>
                <w:szCs w:val="24"/>
              </w:rPr>
              <w:t xml:space="preserve"> таблиц</w:t>
            </w:r>
            <w:r>
              <w:rPr>
                <w:rFonts w:hint="default" w:ascii="Times New Roman" w:hAnsi="Times New Roman" w:eastAsia="Arial" w:cs="Times New Roman"/>
                <w:i/>
                <w:sz w:val="24"/>
                <w:szCs w:val="24"/>
                <w:lang w:val="uk-UA"/>
              </w:rPr>
              <w:t>і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, тис. грн</w:t>
            </w:r>
          </w:p>
          <w:p w14:paraId="127CFBE2">
            <w:pPr>
              <w:spacing w:after="0" w:line="240" w:lineRule="auto"/>
              <w:ind w:left="-62"/>
              <w:rPr>
                <w:rFonts w:hint="default" w:ascii="Times New Roman" w:hAnsi="Times New Roman" w:eastAsia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Cs/>
                <w:color w:val="000000"/>
                <w:sz w:val="24"/>
                <w:szCs w:val="24"/>
              </w:rPr>
              <w:t>Якості</w:t>
            </w:r>
          </w:p>
          <w:p w14:paraId="4EBC8B7F">
            <w:pPr>
              <w:spacing w:after="0" w:line="240" w:lineRule="auto"/>
              <w:ind w:left="-62"/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відсоток виконання запланованих до встановлення інформаційних таблиць, %.</w:t>
            </w:r>
          </w:p>
        </w:tc>
        <w:tc>
          <w:tcPr>
            <w:tcW w:w="188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7ADD5">
            <w:pPr>
              <w:widowControl w:val="0"/>
              <w:spacing w:line="240" w:lineRule="auto"/>
              <w:ind w:left="100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F9E9D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F39F8">
            <w:pPr>
              <w:widowControl w:val="0"/>
              <w:spacing w:line="240" w:lineRule="auto"/>
              <w:ind w:left="10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>5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00,00</w:t>
            </w:r>
          </w:p>
        </w:tc>
        <w:tc>
          <w:tcPr>
            <w:tcW w:w="2178" w:type="dxa"/>
            <w:tcBorders>
              <w:top w:val="single" w:color="auto" w:sz="4" w:space="0"/>
              <w:bottom w:val="single" w:color="auto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DC138"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Збереження національної пам’яті визначних подій та постатей Львівщини</w:t>
            </w:r>
          </w:p>
        </w:tc>
      </w:tr>
      <w:tr w14:paraId="4D505E9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393" w:type="dxa"/>
            <w:vMerge w:val="continu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D76151">
            <w:pPr>
              <w:widowControl w:val="0"/>
              <w:spacing w:line="240" w:lineRule="auto"/>
              <w:ind w:left="90" w:right="-5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510" w:type="dxa"/>
            <w:vMerge w:val="continu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A6823">
            <w:pPr>
              <w:spacing w:after="0" w:line="240" w:lineRule="auto"/>
              <w:rPr>
                <w:rFonts w:hint="default" w:ascii="Times New Roman" w:hAnsi="Times New Roman" w:eastAsia="Arial" w:cs="Times New Roman"/>
                <w:b/>
                <w:sz w:val="24"/>
                <w:szCs w:val="24"/>
              </w:rPr>
            </w:pPr>
          </w:p>
        </w:tc>
        <w:tc>
          <w:tcPr>
            <w:tcW w:w="2570" w:type="dxa"/>
            <w:tcBorders>
              <w:top w:val="single" w:color="auto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2D2BAB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</w:rPr>
              <w:t>3. Впорядкування та утримання українських історичних військових меморіалів на території Львівської області</w:t>
            </w:r>
          </w:p>
        </w:tc>
        <w:tc>
          <w:tcPr>
            <w:tcW w:w="3372" w:type="dxa"/>
            <w:tcBorders>
              <w:top w:val="single" w:color="auto" w:sz="4" w:space="0"/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25084">
            <w:pPr>
              <w:spacing w:after="0" w:line="240" w:lineRule="auto"/>
              <w:ind w:left="-62"/>
              <w:rPr>
                <w:rFonts w:hint="default" w:ascii="Times New Roman" w:hAnsi="Times New Roman" w:eastAsia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/>
                <w:color w:val="000000"/>
                <w:sz w:val="24"/>
                <w:szCs w:val="24"/>
              </w:rPr>
              <w:t>Затрат</w:t>
            </w:r>
          </w:p>
          <w:p w14:paraId="2E7C925C">
            <w:pPr>
              <w:spacing w:after="0" w:line="240" w:lineRule="auto"/>
              <w:ind w:left="-62"/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обсяг фінансового ресурсу спрямованого на в</w:t>
            </w:r>
            <w:r>
              <w:rPr>
                <w:rFonts w:hint="default" w:ascii="Times New Roman" w:hAnsi="Times New Roman" w:eastAsia="Arial" w:cs="Times New Roman"/>
                <w:i/>
                <w:sz w:val="24"/>
                <w:szCs w:val="24"/>
              </w:rPr>
              <w:t xml:space="preserve">порядкування та утримання українських історичних військових меморіалів 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 xml:space="preserve"> на території Львівської області,  тис. грн</w:t>
            </w:r>
          </w:p>
          <w:p w14:paraId="12AFB8A5">
            <w:pPr>
              <w:spacing w:after="0" w:line="240" w:lineRule="auto"/>
              <w:ind w:left="-62"/>
              <w:rPr>
                <w:rFonts w:hint="default" w:ascii="Times New Roman" w:hAnsi="Times New Roman" w:eastAsia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/>
                <w:color w:val="000000"/>
                <w:sz w:val="24"/>
                <w:szCs w:val="24"/>
              </w:rPr>
              <w:t>Продукту</w:t>
            </w:r>
          </w:p>
          <w:p w14:paraId="09481418">
            <w:pPr>
              <w:spacing w:after="0" w:line="240" w:lineRule="auto"/>
              <w:ind w:left="-62"/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 xml:space="preserve">кількість заходів з впорядкування </w:t>
            </w:r>
            <w:r>
              <w:rPr>
                <w:rFonts w:hint="default" w:ascii="Times New Roman" w:hAnsi="Times New Roman" w:eastAsia="Arial" w:cs="Times New Roman"/>
                <w:i/>
                <w:sz w:val="24"/>
                <w:szCs w:val="24"/>
              </w:rPr>
              <w:t>та утримання українських історичних військових меморіалів,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 xml:space="preserve"> од</w:t>
            </w:r>
          </w:p>
          <w:p w14:paraId="461DBDD2">
            <w:pPr>
              <w:spacing w:after="0" w:line="240" w:lineRule="auto"/>
              <w:ind w:left="-62"/>
              <w:rPr>
                <w:rFonts w:hint="default" w:ascii="Times New Roman" w:hAnsi="Times New Roman" w:eastAsia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/>
                <w:color w:val="000000"/>
                <w:sz w:val="24"/>
                <w:szCs w:val="24"/>
              </w:rPr>
              <w:t>Ефективності</w:t>
            </w:r>
          </w:p>
          <w:p w14:paraId="60833ACC">
            <w:pPr>
              <w:spacing w:after="0" w:line="240" w:lineRule="auto"/>
              <w:ind w:left="-62"/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 xml:space="preserve">середня вартість проведення 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одного 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заход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lang w:val="uk-UA"/>
              </w:rPr>
              <w:t>у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 xml:space="preserve"> з впорядкування </w:t>
            </w:r>
            <w:r>
              <w:rPr>
                <w:rFonts w:hint="default" w:ascii="Times New Roman" w:hAnsi="Times New Roman" w:eastAsia="Arial" w:cs="Times New Roman"/>
                <w:i/>
                <w:sz w:val="24"/>
                <w:szCs w:val="24"/>
              </w:rPr>
              <w:t>та утримання українських історичних військових меморіалів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, тис. грн</w:t>
            </w:r>
          </w:p>
          <w:p w14:paraId="446BFB1A">
            <w:pPr>
              <w:spacing w:after="0" w:line="240" w:lineRule="auto"/>
              <w:ind w:left="-62"/>
              <w:rPr>
                <w:rFonts w:hint="default" w:ascii="Times New Roman" w:hAnsi="Times New Roman" w:eastAsia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/>
                <w:color w:val="000000"/>
                <w:sz w:val="24"/>
                <w:szCs w:val="24"/>
              </w:rPr>
              <w:t>Якості</w:t>
            </w:r>
          </w:p>
          <w:p w14:paraId="5D564C5B">
            <w:pPr>
              <w:spacing w:after="0" w:line="240" w:lineRule="auto"/>
              <w:ind w:left="-62"/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highlight w:val="yellow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 xml:space="preserve">відсоток виконання запланованих заходів з впорядкування </w:t>
            </w:r>
            <w:r>
              <w:rPr>
                <w:rFonts w:hint="default" w:ascii="Times New Roman" w:hAnsi="Times New Roman" w:eastAsia="Arial" w:cs="Times New Roman"/>
                <w:i/>
                <w:sz w:val="24"/>
                <w:szCs w:val="24"/>
              </w:rPr>
              <w:t>та утримання українських історичних військових меморіалів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, %.</w:t>
            </w:r>
          </w:p>
        </w:tc>
        <w:tc>
          <w:tcPr>
            <w:tcW w:w="188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72BB7">
            <w:pPr>
              <w:widowControl w:val="0"/>
              <w:spacing w:line="240" w:lineRule="auto"/>
              <w:ind w:left="100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Департамент комунікацій та внутрішньої політики обласної державної адміністрації, КП ЛОР «Доля»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00A1B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4115B">
            <w:pPr>
              <w:widowControl w:val="0"/>
              <w:spacing w:line="240" w:lineRule="auto"/>
              <w:ind w:left="10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>200,00</w:t>
            </w:r>
          </w:p>
        </w:tc>
        <w:tc>
          <w:tcPr>
            <w:tcW w:w="2178" w:type="dxa"/>
            <w:tcBorders>
              <w:top w:val="single" w:color="auto" w:sz="4" w:space="0"/>
              <w:bottom w:val="single" w:color="auto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881A1">
            <w:pPr>
              <w:spacing w:line="240" w:lineRule="auto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</w:rPr>
              <w:t>Збереження національної пам’яті загиблих учасників національно- визвольної боротьби, жертв воєн, депортацій та політичних репресій на території Львівської області, шляхом проведення заходів з в</w:t>
            </w:r>
            <w:r>
              <w:rPr>
                <w:rFonts w:hint="default" w:ascii="Times New Roman" w:hAnsi="Times New Roman" w:eastAsia="Arial" w:cs="Times New Roman"/>
                <w:sz w:val="24"/>
                <w:szCs w:val="24"/>
              </w:rPr>
              <w:t>порядкування та утримання українських історичних військових меморіалів.</w:t>
            </w:r>
          </w:p>
        </w:tc>
      </w:tr>
      <w:tr w14:paraId="3640A9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8" w:hRule="atLeast"/>
          <w:jc w:val="center"/>
        </w:trPr>
        <w:tc>
          <w:tcPr>
            <w:tcW w:w="393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55066">
            <w:pPr>
              <w:widowControl w:val="0"/>
              <w:numPr>
                <w:ilvl w:val="0"/>
                <w:numId w:val="1"/>
              </w:numPr>
              <w:spacing w:line="240" w:lineRule="auto"/>
              <w:ind w:left="0" w:right="-5" w:firstLine="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51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C2718">
            <w:pPr>
              <w:spacing w:after="0" w:line="240" w:lineRule="auto"/>
              <w:rPr>
                <w:rFonts w:hint="default" w:ascii="Times New Roman" w:hAnsi="Times New Roman" w:eastAsia="Arial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b/>
                <w:sz w:val="24"/>
                <w:szCs w:val="24"/>
              </w:rPr>
              <w:t xml:space="preserve"> Забезпечення проведення протокольних та офіційних заходів обласної державної адміністрації </w:t>
            </w:r>
          </w:p>
        </w:tc>
        <w:tc>
          <w:tcPr>
            <w:tcW w:w="2570" w:type="dxa"/>
            <w:tcBorders>
              <w:bottom w:val="single" w:color="auto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12962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</w:rPr>
              <w:t>1.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  <w:t>Придбання подарункової та сувенірної продукції для забезпечення  проведення протокольних та масових заходів за участі офіційних осіб державного та регіонального рівня</w:t>
            </w:r>
          </w:p>
        </w:tc>
        <w:tc>
          <w:tcPr>
            <w:tcW w:w="3372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7EEE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Затрат</w:t>
            </w:r>
          </w:p>
          <w:p w14:paraId="58E4C4A8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обсяг видатків на придбання сувенірної продукції,  тис.грн</w:t>
            </w:r>
          </w:p>
          <w:p w14:paraId="4DA61B7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Продукту </w:t>
            </w:r>
          </w:p>
          <w:p w14:paraId="4770390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- кількість придбаної сувенірної продукції, шт </w:t>
            </w:r>
          </w:p>
          <w:p w14:paraId="51167C7A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Ефективності</w:t>
            </w:r>
          </w:p>
          <w:p w14:paraId="0F2ABB77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середні витрати на одиницю сувенірної продукції, грн.</w:t>
            </w:r>
          </w:p>
          <w:p w14:paraId="70648FBB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Якості</w:t>
            </w:r>
          </w:p>
          <w:p w14:paraId="532E6D1E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відсоток забезпечення заходів сувенірною продукцією, % </w:t>
            </w:r>
          </w:p>
          <w:p w14:paraId="7691FE41">
            <w:pPr>
              <w:spacing w:after="0" w:line="240" w:lineRule="auto"/>
              <w:rPr>
                <w:rFonts w:hint="default" w:ascii="Times New Roman" w:hAnsi="Times New Roman" w:eastAsia="Arial" w:cs="Times New Roman"/>
                <w:i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E5FA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Апарат Львівської обласної державної адміністрації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C543D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296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6C15B">
            <w:pPr>
              <w:widowControl w:val="0"/>
              <w:spacing w:line="240" w:lineRule="auto"/>
              <w:ind w:left="10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65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>,0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2178" w:type="dxa"/>
            <w:tcBorders>
              <w:bottom w:val="single" w:color="auto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43CD6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</w:rPr>
              <w:t>Проведення на належному рівні офіційних та протокольних заходів обласною державною адміністрацією</w:t>
            </w:r>
          </w:p>
        </w:tc>
      </w:tr>
      <w:tr w14:paraId="19799F3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  <w:jc w:val="center"/>
        </w:trPr>
        <w:tc>
          <w:tcPr>
            <w:tcW w:w="393" w:type="dxa"/>
            <w:vMerge w:val="continu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9F82B">
            <w:pPr>
              <w:widowControl w:val="0"/>
              <w:spacing w:line="240" w:lineRule="auto"/>
              <w:ind w:left="90" w:right="-5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510" w:type="dxa"/>
            <w:vMerge w:val="continu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0A6F2">
            <w:pPr>
              <w:spacing w:after="0" w:line="240" w:lineRule="auto"/>
              <w:rPr>
                <w:rFonts w:hint="default" w:ascii="Times New Roman" w:hAnsi="Times New Roman" w:eastAsia="Arial" w:cs="Times New Roman"/>
                <w:b/>
                <w:sz w:val="24"/>
                <w:szCs w:val="24"/>
              </w:rPr>
            </w:pPr>
          </w:p>
        </w:tc>
        <w:tc>
          <w:tcPr>
            <w:tcW w:w="2570" w:type="dxa"/>
            <w:tcBorders>
              <w:bottom w:val="single" w:color="auto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C3668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</w:rPr>
              <w:t>2.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  <w:t xml:space="preserve">Оподаткування подарункової та сувенірної продукції податком на доходи фізичних осіб та військовим збором </w:t>
            </w:r>
          </w:p>
          <w:p w14:paraId="7B7C4D73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</w:p>
        </w:tc>
        <w:tc>
          <w:tcPr>
            <w:tcW w:w="3372" w:type="dxa"/>
            <w:tcBorders>
              <w:left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C9C97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Затрат</w:t>
            </w:r>
          </w:p>
          <w:p w14:paraId="654FE3FE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 xml:space="preserve">обсяг 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lang w:val="uk-UA"/>
              </w:rPr>
              <w:t>фінансового русурсу на сплату податків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,  тис.грн</w:t>
            </w:r>
          </w:p>
          <w:p w14:paraId="656780B3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Продукту </w:t>
            </w:r>
          </w:p>
          <w:p w14:paraId="3709AF9E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кількість сувенірної продукції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 яка підлягає оподаткуванню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, шт </w:t>
            </w:r>
          </w:p>
          <w:p w14:paraId="09803CDE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Ефективності</w:t>
            </w:r>
          </w:p>
          <w:p w14:paraId="3A4D469C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lang w:val="uk-UA"/>
              </w:rPr>
              <w:t>с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ередні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lang w:val="uk-UA"/>
              </w:rPr>
              <w:t>й розмір податку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 xml:space="preserve"> на 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подарункову та 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сувенірн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lang w:val="uk-UA"/>
              </w:rPr>
              <w:t>у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 xml:space="preserve"> продукці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lang w:val="uk-UA"/>
              </w:rPr>
              <w:t>ю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, грн.</w:t>
            </w:r>
          </w:p>
          <w:p w14:paraId="5A741D09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Якості</w:t>
            </w:r>
          </w:p>
          <w:p w14:paraId="7035A4D0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 xml:space="preserve">відсоток 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lang w:val="uk-UA"/>
              </w:rPr>
              <w:t>оподаткованої продукції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, % </w:t>
            </w:r>
          </w:p>
          <w:p w14:paraId="072EC2D8">
            <w:pPr>
              <w:spacing w:after="0" w:line="240" w:lineRule="auto"/>
              <w:rPr>
                <w:rFonts w:hint="default" w:ascii="Times New Roman" w:hAnsi="Times New Roman" w:eastAsia="Arial" w:cs="Times New Roman"/>
                <w:i/>
                <w:color w:val="C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1C1E53">
            <w:pPr>
              <w:widowControl w:val="0"/>
              <w:spacing w:line="240" w:lineRule="auto"/>
              <w:jc w:val="left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Апарат Львівської обласної державної адміністрації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D9FDA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color w:val="C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296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EF849">
            <w:pPr>
              <w:widowControl w:val="0"/>
              <w:spacing w:line="240" w:lineRule="auto"/>
              <w:ind w:left="10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55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>,0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21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A04CB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</w:rPr>
              <w:t>Проведення на належному рівні офіційних та протокольних заходів обласною державною адміністрацією</w:t>
            </w:r>
          </w:p>
        </w:tc>
      </w:tr>
      <w:tr w14:paraId="5B04BB8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393" w:type="dxa"/>
            <w:vMerge w:val="continu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3C0CC">
            <w:pPr>
              <w:widowControl w:val="0"/>
              <w:spacing w:line="240" w:lineRule="auto"/>
              <w:ind w:left="90" w:right="-5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510" w:type="dxa"/>
            <w:vMerge w:val="continu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4F00F">
            <w:pPr>
              <w:spacing w:after="0" w:line="240" w:lineRule="auto"/>
              <w:rPr>
                <w:rFonts w:hint="default" w:ascii="Times New Roman" w:hAnsi="Times New Roman" w:eastAsia="Arial" w:cs="Times New Roman"/>
                <w:b/>
                <w:sz w:val="24"/>
                <w:szCs w:val="24"/>
              </w:rPr>
            </w:pPr>
          </w:p>
        </w:tc>
        <w:tc>
          <w:tcPr>
            <w:tcW w:w="2570" w:type="dxa"/>
            <w:tcBorders>
              <w:bottom w:val="single" w:color="auto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9C78D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</w:rPr>
              <w:t xml:space="preserve">3.Придбання квіткової продукції для забезпечення проведення протокольних та масових заходів за участі офіційних осіб державного та регіонального рівня </w:t>
            </w:r>
          </w:p>
        </w:tc>
        <w:tc>
          <w:tcPr>
            <w:tcW w:w="3372" w:type="dxa"/>
            <w:tcBorders>
              <w:left w:val="single" w:color="000000" w:sz="8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8AC046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Затрат:</w:t>
            </w:r>
          </w:p>
          <w:p w14:paraId="04458FB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обсяг видатків на придбання квіткової  продукції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, 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тис.грн</w:t>
            </w:r>
          </w:p>
          <w:p w14:paraId="23C8A67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Продукту</w:t>
            </w:r>
          </w:p>
          <w:p w14:paraId="229A233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кількість придбаної квіткової продукції, шт</w:t>
            </w:r>
          </w:p>
          <w:p w14:paraId="2D48491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Ефективності</w:t>
            </w:r>
          </w:p>
          <w:p w14:paraId="274E480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середні витрати на одиницю квіткової продукції, грн</w:t>
            </w:r>
          </w:p>
          <w:p w14:paraId="3DDD305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Якості</w:t>
            </w:r>
          </w:p>
          <w:p w14:paraId="00821252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відсоток забезпечення заходів квітковою продукцією, % </w:t>
            </w:r>
          </w:p>
          <w:p w14:paraId="7BAE5BC6">
            <w:pPr>
              <w:spacing w:after="0" w:line="240" w:lineRule="auto"/>
              <w:rPr>
                <w:rFonts w:hint="default" w:ascii="Times New Roman" w:hAnsi="Times New Roman" w:eastAsia="Arial" w:cs="Times New Roman"/>
                <w:i/>
                <w:color w:val="C00000"/>
                <w:sz w:val="24"/>
                <w:szCs w:val="24"/>
              </w:rPr>
            </w:pPr>
          </w:p>
        </w:tc>
        <w:tc>
          <w:tcPr>
            <w:tcW w:w="1884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0FC0B">
            <w:pPr>
              <w:widowControl w:val="0"/>
              <w:spacing w:line="240" w:lineRule="auto"/>
              <w:jc w:val="left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Апарат Львівської обласної державної адміністрації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6D34A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296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6D81C">
            <w:pPr>
              <w:widowControl w:val="0"/>
              <w:spacing w:line="240" w:lineRule="auto"/>
              <w:ind w:left="10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5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>0,0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21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FD4E5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</w:rPr>
              <w:t>Проведення на належному рівні офіційних та протокольних заходів обласною державною адміністрацією</w:t>
            </w:r>
          </w:p>
        </w:tc>
      </w:tr>
      <w:tr w14:paraId="4367427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393" w:type="dxa"/>
            <w:vMerge w:val="continu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14D16">
            <w:pPr>
              <w:widowControl w:val="0"/>
              <w:spacing w:line="240" w:lineRule="auto"/>
              <w:ind w:left="90" w:right="-5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510" w:type="dxa"/>
            <w:vMerge w:val="continu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F4B7F">
            <w:pPr>
              <w:spacing w:after="0" w:line="240" w:lineRule="auto"/>
              <w:rPr>
                <w:rFonts w:hint="default" w:ascii="Times New Roman" w:hAnsi="Times New Roman" w:eastAsia="Arial" w:cs="Times New Roman"/>
                <w:b/>
                <w:sz w:val="24"/>
                <w:szCs w:val="24"/>
              </w:rPr>
            </w:pPr>
          </w:p>
        </w:tc>
        <w:tc>
          <w:tcPr>
            <w:tcW w:w="2570" w:type="dxa"/>
            <w:tcBorders>
              <w:bottom w:val="single" w:color="auto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D093B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  <w:t>4. Транспортні послуги під час проведення протокольних та масових заходів за участі офіційних осіб державного та регіонального рівня</w:t>
            </w:r>
          </w:p>
        </w:tc>
        <w:tc>
          <w:tcPr>
            <w:tcW w:w="3372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39CE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Затрат</w:t>
            </w:r>
          </w:p>
          <w:p w14:paraId="6CB860C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обсяг видатків на транспортне забезпечення, тис.грн</w:t>
            </w:r>
          </w:p>
          <w:p w14:paraId="36FD2EA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Продукту</w:t>
            </w:r>
          </w:p>
          <w:p w14:paraId="317EDBF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кількість наданих транспортних послуг, од</w:t>
            </w:r>
          </w:p>
          <w:p w14:paraId="39F2CD8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Ефективності </w:t>
            </w:r>
          </w:p>
          <w:p w14:paraId="55A30E4D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середні витрати на одиницю транспортних послуг, грн</w:t>
            </w:r>
          </w:p>
          <w:p w14:paraId="399738E3">
            <w:pPr>
              <w:spacing w:after="0" w:line="240" w:lineRule="auto"/>
              <w:ind w:left="37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Якості</w:t>
            </w:r>
          </w:p>
          <w:p w14:paraId="1ACE70B8">
            <w:pPr>
              <w:spacing w:after="0" w:line="240" w:lineRule="auto"/>
              <w:rPr>
                <w:rFonts w:hint="default" w:ascii="Times New Roman" w:hAnsi="Times New Roman" w:eastAsia="Arial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відсоток забезпечення заходів транспортними послугами, %</w:t>
            </w:r>
          </w:p>
        </w:tc>
        <w:tc>
          <w:tcPr>
            <w:tcW w:w="1884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5EC3F">
            <w:pPr>
              <w:widowControl w:val="0"/>
              <w:spacing w:line="240" w:lineRule="auto"/>
              <w:jc w:val="left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Апарат Львівської обласної державної адміністрації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F54476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296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648B7">
            <w:pPr>
              <w:widowControl w:val="0"/>
              <w:spacing w:line="240" w:lineRule="auto"/>
              <w:ind w:left="10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6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>0,0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21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1DA09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</w:rPr>
              <w:t>Проведення на належному рівні офіційних та протокольних заходів обласною державною адміністрацією</w:t>
            </w:r>
          </w:p>
        </w:tc>
      </w:tr>
      <w:tr w14:paraId="7716053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393" w:type="dxa"/>
            <w:vMerge w:val="continu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62687">
            <w:pPr>
              <w:widowControl w:val="0"/>
              <w:spacing w:line="240" w:lineRule="auto"/>
              <w:ind w:left="90" w:right="-5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510" w:type="dxa"/>
            <w:vMerge w:val="continu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53E59">
            <w:pPr>
              <w:spacing w:after="0" w:line="240" w:lineRule="auto"/>
              <w:rPr>
                <w:rFonts w:hint="default" w:ascii="Times New Roman" w:hAnsi="Times New Roman" w:eastAsia="Arial" w:cs="Times New Roman"/>
                <w:b/>
                <w:sz w:val="24"/>
                <w:szCs w:val="24"/>
              </w:rPr>
            </w:pPr>
          </w:p>
        </w:tc>
        <w:tc>
          <w:tcPr>
            <w:tcW w:w="2570" w:type="dxa"/>
            <w:tcBorders>
              <w:bottom w:val="single" w:color="auto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B8624">
            <w:pPr>
              <w:spacing w:after="0" w:line="240" w:lineRule="auto"/>
              <w:ind w:left="37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  <w:t>5.Забезпечення організації та проведення офіційних прийомів під час проведення протокольних та масових заходів за участі офіційних осіб державного та регіонального рівня</w:t>
            </w:r>
          </w:p>
          <w:p w14:paraId="3386DA12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E51A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Затрат</w:t>
            </w:r>
          </w:p>
          <w:p w14:paraId="04D5BCF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обсяг видатків на забезпечення  організації та проведення офіційних прийомів, тис.грн</w:t>
            </w:r>
          </w:p>
          <w:p w14:paraId="7E84BE9D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Продукту</w:t>
            </w:r>
          </w:p>
          <w:p w14:paraId="3A953A8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кількість проведених офіційних прийомів, од.</w:t>
            </w:r>
          </w:p>
          <w:p w14:paraId="1EEFB02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Ефективності</w:t>
            </w:r>
          </w:p>
          <w:p w14:paraId="2B7B6D4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середні витрати на проведення одного офіційного прийому, грн </w:t>
            </w:r>
          </w:p>
          <w:p w14:paraId="64C742A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Якості </w:t>
            </w:r>
          </w:p>
          <w:p w14:paraId="5C5880A1">
            <w:pPr>
              <w:spacing w:after="0" w:line="240" w:lineRule="auto"/>
              <w:rPr>
                <w:rFonts w:hint="default" w:ascii="Times New Roman" w:hAnsi="Times New Roman" w:eastAsia="Arial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відсоток забезпечення заходів послугами  проведення офіційних прийомів,% </w:t>
            </w:r>
          </w:p>
        </w:tc>
        <w:tc>
          <w:tcPr>
            <w:tcW w:w="1884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9191C">
            <w:pPr>
              <w:widowControl w:val="0"/>
              <w:spacing w:line="240" w:lineRule="auto"/>
              <w:jc w:val="left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Апарат Львівської обласної державної адміністрації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6E8FFA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296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86417">
            <w:pPr>
              <w:widowControl w:val="0"/>
              <w:spacing w:line="240" w:lineRule="auto"/>
              <w:ind w:left="10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12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>0,0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21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13C6D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</w:rPr>
              <w:t>Проведення на належному рівні офіційних та протокольних заходів обласною державною адміністрацією</w:t>
            </w:r>
          </w:p>
        </w:tc>
      </w:tr>
      <w:tr w14:paraId="539BE15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393" w:type="dxa"/>
            <w:vMerge w:val="continu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C733E">
            <w:pPr>
              <w:widowControl w:val="0"/>
              <w:spacing w:line="240" w:lineRule="auto"/>
              <w:ind w:right="-5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510" w:type="dxa"/>
            <w:vMerge w:val="continu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FF6E0">
            <w:pPr>
              <w:spacing w:after="0" w:line="240" w:lineRule="auto"/>
              <w:rPr>
                <w:rFonts w:hint="default" w:ascii="Times New Roman" w:hAnsi="Times New Roman" w:eastAsia="Arial" w:cs="Times New Roman"/>
                <w:b/>
                <w:sz w:val="24"/>
                <w:szCs w:val="24"/>
              </w:rPr>
            </w:pPr>
          </w:p>
        </w:tc>
        <w:tc>
          <w:tcPr>
            <w:tcW w:w="2570" w:type="dxa"/>
            <w:tcBorders>
              <w:bottom w:val="single" w:color="auto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5A533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</w:rPr>
              <w:t>6.Інші послуги</w:t>
            </w:r>
          </w:p>
        </w:tc>
        <w:tc>
          <w:tcPr>
            <w:tcW w:w="3372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DA56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Затрат</w:t>
            </w:r>
          </w:p>
          <w:p w14:paraId="66BFBB9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обсяг видатків на забезпечення  організації надання послуг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(інших)  тис.грн</w:t>
            </w:r>
          </w:p>
          <w:p w14:paraId="213D3CED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Продукту </w:t>
            </w:r>
          </w:p>
          <w:p w14:paraId="2F79CBF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кількість наданих послуг, од</w:t>
            </w:r>
          </w:p>
          <w:p w14:paraId="77738A9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Ефективності</w:t>
            </w:r>
          </w:p>
          <w:p w14:paraId="3F6DCF9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 xml:space="preserve">середні витрати на 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lang w:val="uk-UA"/>
              </w:rPr>
              <w:t>надання</w:t>
            </w: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 xml:space="preserve"> однієї послуги, грн</w:t>
            </w:r>
          </w:p>
          <w:p w14:paraId="44FB976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  <w:t>Якості</w:t>
            </w:r>
          </w:p>
          <w:p w14:paraId="3613724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  <w:t>відсоток забезпечення заходів іншими послугами , % </w:t>
            </w:r>
          </w:p>
        </w:tc>
        <w:tc>
          <w:tcPr>
            <w:tcW w:w="1884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20D67">
            <w:pPr>
              <w:widowControl w:val="0"/>
              <w:spacing w:line="240" w:lineRule="auto"/>
              <w:jc w:val="left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Апарат Львівської обласної державної адміністрації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43F894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296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871A3">
            <w:pPr>
              <w:widowControl w:val="0"/>
              <w:spacing w:line="240" w:lineRule="auto"/>
              <w:ind w:left="10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50,00</w:t>
            </w:r>
          </w:p>
        </w:tc>
        <w:tc>
          <w:tcPr>
            <w:tcW w:w="21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33545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</w:rPr>
              <w:t>Проведення на належному рівні офіційних та протокольних заходів обласною державною адміністрацією</w:t>
            </w:r>
          </w:p>
        </w:tc>
      </w:tr>
      <w:tr w14:paraId="398F08A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3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0E23B">
            <w:pPr>
              <w:widowControl w:val="0"/>
              <w:numPr>
                <w:ilvl w:val="0"/>
                <w:numId w:val="1"/>
              </w:numPr>
              <w:spacing w:line="240" w:lineRule="auto"/>
              <w:ind w:right="-5" w:hanging="63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6.</w:t>
            </w:r>
          </w:p>
        </w:tc>
        <w:tc>
          <w:tcPr>
            <w:tcW w:w="2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B3BCD">
            <w:pPr>
              <w:spacing w:after="0" w:line="240" w:lineRule="auto"/>
              <w:rPr>
                <w:rFonts w:hint="default" w:ascii="Times New Roman" w:hAnsi="Times New Roman" w:eastAsia="Arial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b/>
                <w:sz w:val="24"/>
                <w:szCs w:val="24"/>
              </w:rPr>
              <w:t>Відзначення грошовою винагородою мешканців Львівщини</w:t>
            </w:r>
          </w:p>
        </w:tc>
        <w:tc>
          <w:tcPr>
            <w:tcW w:w="2570" w:type="dxa"/>
            <w:tcBorders>
              <w:bottom w:val="single" w:color="auto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79C0D4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</w:rPr>
              <w:t>1.Відзначення мешканців Львівщини  грошовою винагородою за особистий внесок у зміцнення обороноздатності країни, активну громадську та волонтерську діяльність</w:t>
            </w:r>
          </w:p>
        </w:tc>
        <w:tc>
          <w:tcPr>
            <w:tcW w:w="3372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2608E">
            <w:pPr>
              <w:pStyle w:val="6"/>
              <w:widowControl w:val="0"/>
              <w:spacing w:line="240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Затрат </w:t>
            </w:r>
          </w:p>
          <w:p w14:paraId="5B22797A">
            <w:pPr>
              <w:pStyle w:val="6"/>
              <w:widowControl w:val="0"/>
              <w:spacing w:line="240" w:lineRule="auto"/>
              <w:rPr>
                <w:rFonts w:hint="default"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i/>
                <w:iCs/>
                <w:sz w:val="24"/>
                <w:szCs w:val="24"/>
              </w:rPr>
              <w:t>обсяг фінансового ресурсу, спрямованого на  виплату винагороди, тис. грн</w:t>
            </w:r>
          </w:p>
          <w:p w14:paraId="14E06609">
            <w:pPr>
              <w:pStyle w:val="6"/>
              <w:widowControl w:val="0"/>
              <w:spacing w:line="240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Продукту </w:t>
            </w:r>
          </w:p>
          <w:p w14:paraId="3B74F1A5">
            <w:pPr>
              <w:pStyle w:val="6"/>
              <w:widowControl w:val="0"/>
              <w:spacing w:line="240" w:lineRule="auto"/>
              <w:rPr>
                <w:rFonts w:hint="default"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i/>
                <w:iCs/>
                <w:sz w:val="24"/>
                <w:szCs w:val="24"/>
              </w:rPr>
              <w:t>кількість мешканців</w:t>
            </w:r>
            <w:r>
              <w:rPr>
                <w:rFonts w:hint="default" w:ascii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 xml:space="preserve"> відзначених винагородою</w:t>
            </w:r>
            <w:r>
              <w:rPr>
                <w:rFonts w:hint="default"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 од.</w:t>
            </w:r>
          </w:p>
          <w:p w14:paraId="49D2BE76">
            <w:pPr>
              <w:pStyle w:val="6"/>
              <w:widowControl w:val="0"/>
              <w:spacing w:line="240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 xml:space="preserve">Ефективності </w:t>
            </w:r>
          </w:p>
          <w:p w14:paraId="05B6446D">
            <w:pPr>
              <w:pStyle w:val="6"/>
              <w:widowControl w:val="0"/>
              <w:spacing w:line="240" w:lineRule="auto"/>
              <w:rPr>
                <w:rFonts w:hint="default"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середня </w:t>
            </w:r>
            <w:r>
              <w:rPr>
                <w:rFonts w:hint="default" w:ascii="Times New Roman" w:hAnsi="Times New Roman" w:cs="Times New Roman"/>
                <w:bCs/>
                <w:i/>
                <w:iCs/>
                <w:sz w:val="24"/>
                <w:szCs w:val="24"/>
                <w:lang w:val="uk-UA"/>
              </w:rPr>
              <w:t>розмір</w:t>
            </w:r>
            <w:r>
              <w:rPr>
                <w:rFonts w:hint="default"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однієї винагороди, тис. грн</w:t>
            </w:r>
          </w:p>
          <w:p w14:paraId="125DAC5E">
            <w:pPr>
              <w:pStyle w:val="6"/>
              <w:widowControl w:val="0"/>
              <w:spacing w:line="240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Якості</w:t>
            </w:r>
          </w:p>
          <w:p w14:paraId="4AA696F7">
            <w:pPr>
              <w:pStyle w:val="6"/>
              <w:widowControl w:val="0"/>
              <w:spacing w:line="240" w:lineRule="auto"/>
              <w:rPr>
                <w:rFonts w:hint="default"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i/>
                <w:iCs/>
                <w:sz w:val="24"/>
                <w:szCs w:val="24"/>
              </w:rPr>
              <w:t>відсоток виплачених винагород, %</w:t>
            </w:r>
          </w:p>
        </w:tc>
        <w:tc>
          <w:tcPr>
            <w:tcW w:w="1884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F7EBD">
            <w:pPr>
              <w:widowControl w:val="0"/>
              <w:spacing w:line="240" w:lineRule="auto"/>
              <w:jc w:val="left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  <w:lang w:val="uk-UA"/>
              </w:rPr>
              <w:t>Апарат Львівської обласної державної адміністрації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C539C2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296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894C7">
            <w:pPr>
              <w:widowControl w:val="0"/>
              <w:spacing w:line="240" w:lineRule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1000,00</w:t>
            </w:r>
          </w:p>
        </w:tc>
        <w:tc>
          <w:tcPr>
            <w:tcW w:w="21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540130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</w:rPr>
              <w:t>Належне відзначення мешканців Львівщини за особистий внесок у зміцнення обороноздатності країни, активну громадську та волонтерсьтку діяльність</w:t>
            </w:r>
          </w:p>
        </w:tc>
      </w:tr>
      <w:tr w14:paraId="2E44062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0" w:hRule="atLeast"/>
          <w:jc w:val="center"/>
        </w:trPr>
        <w:tc>
          <w:tcPr>
            <w:tcW w:w="393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E89B6">
            <w:pPr>
              <w:widowControl w:val="0"/>
              <w:numPr>
                <w:ilvl w:val="0"/>
                <w:numId w:val="1"/>
              </w:numPr>
              <w:spacing w:line="240" w:lineRule="auto"/>
              <w:ind w:left="0" w:right="-5" w:firstLine="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510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F1406">
            <w:pPr>
              <w:spacing w:after="0" w:line="240" w:lineRule="auto"/>
              <w:rPr>
                <w:rFonts w:hint="default" w:ascii="Times New Roman" w:hAnsi="Times New Roman" w:eastAsia="Arial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b/>
                <w:sz w:val="24"/>
                <w:szCs w:val="24"/>
              </w:rPr>
              <w:t xml:space="preserve">Забезпечення проведення протокольних та офіційних заходів обласної ради  </w:t>
            </w:r>
          </w:p>
        </w:tc>
        <w:tc>
          <w:tcPr>
            <w:tcW w:w="2570" w:type="dxa"/>
            <w:tcBorders>
              <w:bottom w:val="single" w:color="auto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A9F9E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  <w:t>1.Забезпечення організації та проведення прийомів з нагоди відзначення свят державного та регіонального значення</w:t>
            </w:r>
          </w:p>
        </w:tc>
        <w:tc>
          <w:tcPr>
            <w:tcW w:w="3372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F55F1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Затрат:</w:t>
            </w:r>
          </w:p>
          <w:p w14:paraId="127E1559">
            <w:pPr>
              <w:spacing w:after="0" w:line="240" w:lineRule="auto"/>
              <w:ind w:right="-79"/>
              <w:textAlignment w:val="baseline"/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витрати на проведення прийомів з нагоди відзначення свят державного та регіонального значення, грн</w:t>
            </w:r>
          </w:p>
          <w:p w14:paraId="63FE1065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Продукту</w:t>
            </w:r>
          </w:p>
          <w:p w14:paraId="1CF55359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кількість організованих та проведених прийомів, од.</w:t>
            </w:r>
          </w:p>
          <w:p w14:paraId="0EB21986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Ефективності</w:t>
            </w:r>
          </w:p>
          <w:p w14:paraId="2D081905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середня вартість витрат на забезпечення проведення одного прийому, грн</w:t>
            </w:r>
          </w:p>
          <w:p w14:paraId="30EC15D2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Якості</w:t>
            </w:r>
          </w:p>
          <w:p w14:paraId="194B9FA8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відсоток вчасно проведених прийомів, %</w:t>
            </w:r>
          </w:p>
        </w:tc>
        <w:tc>
          <w:tcPr>
            <w:tcW w:w="1884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A321F">
            <w:pPr>
              <w:widowControl w:val="0"/>
              <w:spacing w:line="240" w:lineRule="auto"/>
              <w:ind w:left="32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Львівська обласна рада 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B7172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296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6CE5B">
            <w:pPr>
              <w:widowControl w:val="0"/>
              <w:spacing w:line="240" w:lineRule="auto"/>
              <w:ind w:left="10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200,00</w:t>
            </w:r>
          </w:p>
        </w:tc>
        <w:tc>
          <w:tcPr>
            <w:tcW w:w="2178" w:type="dxa"/>
            <w:tcBorders>
              <w:bottom w:val="single" w:color="auto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D4DD9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</w:rPr>
              <w:t>Проведення на належному рівні офіційних та протокольних заходів обласною радою</w:t>
            </w:r>
          </w:p>
        </w:tc>
      </w:tr>
      <w:tr w14:paraId="574A4E6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  <w:jc w:val="center"/>
        </w:trPr>
        <w:tc>
          <w:tcPr>
            <w:tcW w:w="393" w:type="dxa"/>
            <w:vMerge w:val="continu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9B541">
            <w:pPr>
              <w:widowControl w:val="0"/>
              <w:numPr>
                <w:ilvl w:val="0"/>
                <w:numId w:val="1"/>
              </w:numPr>
              <w:spacing w:line="240" w:lineRule="auto"/>
              <w:ind w:left="90" w:right="-5" w:firstLine="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510" w:type="dxa"/>
            <w:vMerge w:val="continu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4330C">
            <w:pPr>
              <w:spacing w:after="0" w:line="240" w:lineRule="auto"/>
              <w:rPr>
                <w:rFonts w:hint="default" w:ascii="Times New Roman" w:hAnsi="Times New Roman" w:eastAsia="Arial" w:cs="Times New Roman"/>
                <w:b/>
                <w:sz w:val="24"/>
                <w:szCs w:val="24"/>
              </w:rPr>
            </w:pPr>
          </w:p>
        </w:tc>
        <w:tc>
          <w:tcPr>
            <w:tcW w:w="2570" w:type="dxa"/>
            <w:tcBorders>
              <w:bottom w:val="single" w:color="auto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E52F2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  <w:lang w:val="uk-UA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2. Забезпечення подарунково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ю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та сувенірно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ю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продукці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єю</w:t>
            </w:r>
          </w:p>
        </w:tc>
        <w:tc>
          <w:tcPr>
            <w:tcW w:w="3372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59C20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Затрат</w:t>
            </w:r>
          </w:p>
          <w:p w14:paraId="7E2DFAEA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витрати на придбання подарункової та сувенірної продукції, грн</w:t>
            </w:r>
          </w:p>
          <w:p w14:paraId="31DDCC99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Продукту</w:t>
            </w:r>
          </w:p>
          <w:p w14:paraId="502F1B6A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клькість придбаних сувенірів та подарунків, од.</w:t>
            </w:r>
          </w:p>
          <w:p w14:paraId="13FEA307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Ефективності</w:t>
            </w:r>
          </w:p>
          <w:p w14:paraId="0BE98018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середня вартість придбання одного подарунка (сувеніра), грн</w:t>
            </w:r>
          </w:p>
          <w:p w14:paraId="0CC3D354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Якості</w:t>
            </w:r>
          </w:p>
          <w:p w14:paraId="6B926E53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відсоток придбаної подарункової та сувенірної продукції, %</w:t>
            </w:r>
          </w:p>
        </w:tc>
        <w:tc>
          <w:tcPr>
            <w:tcW w:w="1884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4EA0A">
            <w:pPr>
              <w:widowControl w:val="0"/>
              <w:spacing w:line="240" w:lineRule="auto"/>
              <w:ind w:left="32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Львівська обласна рада 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8CECF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296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2D9774">
            <w:pPr>
              <w:widowControl w:val="0"/>
              <w:spacing w:line="240" w:lineRule="auto"/>
              <w:ind w:left="10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950,00</w:t>
            </w:r>
          </w:p>
        </w:tc>
        <w:tc>
          <w:tcPr>
            <w:tcW w:w="21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1FFE4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</w:rPr>
              <w:t>Проведення на належному рівні офіційних та протокольних заходів обласною радою</w:t>
            </w:r>
          </w:p>
        </w:tc>
      </w:tr>
      <w:tr w14:paraId="4B077BF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393" w:type="dxa"/>
            <w:vMerge w:val="continu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5D68A">
            <w:pPr>
              <w:widowControl w:val="0"/>
              <w:numPr>
                <w:ilvl w:val="0"/>
                <w:numId w:val="1"/>
              </w:numPr>
              <w:spacing w:line="240" w:lineRule="auto"/>
              <w:ind w:left="90" w:right="-5" w:firstLine="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510" w:type="dxa"/>
            <w:vMerge w:val="continu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09763">
            <w:pPr>
              <w:spacing w:after="0" w:line="240" w:lineRule="auto"/>
              <w:rPr>
                <w:rFonts w:hint="default" w:ascii="Times New Roman" w:hAnsi="Times New Roman" w:eastAsia="Arial" w:cs="Times New Roman"/>
                <w:b/>
                <w:sz w:val="24"/>
                <w:szCs w:val="24"/>
              </w:rPr>
            </w:pPr>
          </w:p>
        </w:tc>
        <w:tc>
          <w:tcPr>
            <w:tcW w:w="2570" w:type="dxa"/>
            <w:tcBorders>
              <w:bottom w:val="single" w:color="auto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5FE5F">
            <w:pPr>
              <w:spacing w:after="0" w:line="240" w:lineRule="auto"/>
              <w:ind w:right="-79"/>
              <w:jc w:val="both"/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3.Забезпечення квітково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ю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продукці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ю</w:t>
            </w:r>
          </w:p>
          <w:p w14:paraId="1B6611D1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1A64B7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Затрат</w:t>
            </w:r>
          </w:p>
          <w:p w14:paraId="3979E36C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витрати на придбання квіткової продукції, грн</w:t>
            </w:r>
          </w:p>
          <w:p w14:paraId="3F68241D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Продукту</w:t>
            </w:r>
          </w:p>
          <w:p w14:paraId="16A1B8EE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кількість придбаної квіткової продукції, од.</w:t>
            </w:r>
          </w:p>
          <w:p w14:paraId="58A85DF8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Ефективності</w:t>
            </w:r>
          </w:p>
          <w:p w14:paraId="203ECDF2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середня вартість придбання одиниці квіткової продукції, грн</w:t>
            </w:r>
          </w:p>
          <w:p w14:paraId="1E3983C2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Якості </w:t>
            </w:r>
          </w:p>
          <w:p w14:paraId="26743E99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відсоток забезпечення квітковою продукцією, %</w:t>
            </w:r>
          </w:p>
        </w:tc>
        <w:tc>
          <w:tcPr>
            <w:tcW w:w="1884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04AB8">
            <w:pPr>
              <w:widowControl w:val="0"/>
              <w:spacing w:line="240" w:lineRule="auto"/>
              <w:ind w:left="100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</w:rPr>
              <w:t>Львівська обласна рада</w:t>
            </w:r>
          </w:p>
        </w:tc>
        <w:tc>
          <w:tcPr>
            <w:tcW w:w="1440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31436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296" w:type="dxa"/>
            <w:tcBorders>
              <w:top w:val="single" w:color="000000" w:sz="8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DA7F8">
            <w:pPr>
              <w:widowControl w:val="0"/>
              <w:spacing w:line="240" w:lineRule="auto"/>
              <w:ind w:left="10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200,00</w:t>
            </w:r>
          </w:p>
        </w:tc>
        <w:tc>
          <w:tcPr>
            <w:tcW w:w="21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8EF85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</w:rPr>
              <w:t>Проведення на належному рівні офіційних та протокольних заходів обласною радою</w:t>
            </w:r>
          </w:p>
        </w:tc>
      </w:tr>
      <w:tr w14:paraId="6E931C4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393" w:type="dxa"/>
            <w:vMerge w:val="continu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767E0">
            <w:pPr>
              <w:widowControl w:val="0"/>
              <w:numPr>
                <w:ilvl w:val="0"/>
                <w:numId w:val="1"/>
              </w:numPr>
              <w:spacing w:line="240" w:lineRule="auto"/>
              <w:ind w:left="90" w:right="-5" w:firstLine="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510" w:type="dxa"/>
            <w:vMerge w:val="continu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42F7E">
            <w:pPr>
              <w:spacing w:after="0" w:line="240" w:lineRule="auto"/>
              <w:rPr>
                <w:rFonts w:hint="default" w:ascii="Times New Roman" w:hAnsi="Times New Roman" w:eastAsia="Arial" w:cs="Times New Roman"/>
                <w:b/>
                <w:sz w:val="24"/>
                <w:szCs w:val="24"/>
              </w:rPr>
            </w:pPr>
          </w:p>
        </w:tc>
        <w:tc>
          <w:tcPr>
            <w:tcW w:w="2570" w:type="dxa"/>
            <w:tcBorders>
              <w:top w:val="single" w:color="auto" w:sz="4" w:space="0"/>
              <w:bottom w:val="single" w:color="auto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C28B0">
            <w:pPr>
              <w:spacing w:after="0" w:line="240" w:lineRule="auto"/>
              <w:ind w:right="-79"/>
              <w:jc w:val="both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4.Транспортне забезпечення</w:t>
            </w:r>
          </w:p>
          <w:p w14:paraId="36FAB32C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8174D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Затрат</w:t>
            </w:r>
          </w:p>
          <w:p w14:paraId="7DB54A23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витрати на транспортне забезпечення, грн</w:t>
            </w:r>
          </w:p>
          <w:p w14:paraId="00171B5C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Продукту</w:t>
            </w:r>
          </w:p>
          <w:p w14:paraId="4D09BA87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кількість замовлень транспортних послуг, од.</w:t>
            </w:r>
          </w:p>
          <w:p w14:paraId="3072F00E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Ефективності</w:t>
            </w:r>
          </w:p>
          <w:p w14:paraId="289C9CA8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середня вартість однієї транспортної послуги, грн</w:t>
            </w:r>
          </w:p>
          <w:p w14:paraId="599AF149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Якості</w:t>
            </w:r>
          </w:p>
          <w:p w14:paraId="0E544AD6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відсоток забезпечення транспортними послугами, %</w:t>
            </w:r>
          </w:p>
        </w:tc>
        <w:tc>
          <w:tcPr>
            <w:tcW w:w="188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EB6E6">
            <w:pPr>
              <w:widowControl w:val="0"/>
              <w:spacing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</w:rPr>
              <w:t>Львівська обласна рада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EB8F8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DFB2C">
            <w:pPr>
              <w:widowControl w:val="0"/>
              <w:spacing w:line="240" w:lineRule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100,00</w:t>
            </w:r>
          </w:p>
        </w:tc>
        <w:tc>
          <w:tcPr>
            <w:tcW w:w="21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3D634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</w:rPr>
              <w:t>Проведення на належному рівні офіційних та протокольних заходів обласною радою</w:t>
            </w:r>
          </w:p>
        </w:tc>
      </w:tr>
      <w:tr w14:paraId="3E5D72A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2" w:hRule="atLeast"/>
          <w:jc w:val="center"/>
        </w:trPr>
        <w:tc>
          <w:tcPr>
            <w:tcW w:w="393" w:type="dxa"/>
            <w:vMerge w:val="continu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28E02">
            <w:pPr>
              <w:widowControl w:val="0"/>
              <w:numPr>
                <w:ilvl w:val="0"/>
                <w:numId w:val="1"/>
              </w:numPr>
              <w:spacing w:line="240" w:lineRule="auto"/>
              <w:ind w:left="90" w:right="-5" w:firstLine="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510" w:type="dxa"/>
            <w:vMerge w:val="continu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44FD5">
            <w:pPr>
              <w:spacing w:after="0" w:line="240" w:lineRule="auto"/>
              <w:rPr>
                <w:rFonts w:hint="default" w:ascii="Times New Roman" w:hAnsi="Times New Roman" w:eastAsia="Arial" w:cs="Times New Roman"/>
                <w:b/>
                <w:sz w:val="24"/>
                <w:szCs w:val="24"/>
              </w:rPr>
            </w:pPr>
          </w:p>
        </w:tc>
        <w:tc>
          <w:tcPr>
            <w:tcW w:w="2570" w:type="dxa"/>
            <w:tcBorders>
              <w:top w:val="single" w:color="auto" w:sz="4" w:space="0"/>
              <w:bottom w:val="single" w:color="auto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C0411">
            <w:pPr>
              <w:spacing w:after="0" w:line="240" w:lineRule="auto"/>
              <w:ind w:right="-79"/>
              <w:jc w:val="both"/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5.Інші заходи</w:t>
            </w:r>
          </w:p>
        </w:tc>
        <w:tc>
          <w:tcPr>
            <w:tcW w:w="337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4C188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Затрат</w:t>
            </w:r>
          </w:p>
          <w:p w14:paraId="288A8D69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  <w:t>витрати на проведення інших заходів, грн</w:t>
            </w:r>
          </w:p>
          <w:p w14:paraId="2EB959BC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Продукту</w:t>
            </w:r>
          </w:p>
          <w:p w14:paraId="08B270AF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  <w:t>кількість проведених інших заходів, од.</w:t>
            </w:r>
          </w:p>
          <w:p w14:paraId="110F6227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Ефективності</w:t>
            </w:r>
          </w:p>
          <w:p w14:paraId="207151FD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  <w:t>середня вартість витрат на проведення одного іншого заходу, грн</w:t>
            </w:r>
          </w:p>
          <w:p w14:paraId="6636BA85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  <w:t>Якості</w:t>
            </w:r>
          </w:p>
          <w:p w14:paraId="5DF4B30A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  <w:t>відсоток вчасно проведених інших заходів, %</w:t>
            </w:r>
          </w:p>
        </w:tc>
        <w:tc>
          <w:tcPr>
            <w:tcW w:w="188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BEFBC">
            <w:pPr>
              <w:widowControl w:val="0"/>
              <w:spacing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</w:rPr>
              <w:t>Львівська обласна рада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F08CD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3CA47E">
            <w:pPr>
              <w:widowControl w:val="0"/>
              <w:spacing w:line="240" w:lineRule="auto"/>
              <w:ind w:left="10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20,00</w:t>
            </w:r>
          </w:p>
        </w:tc>
        <w:tc>
          <w:tcPr>
            <w:tcW w:w="21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BA4B2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</w:rPr>
              <w:t>Проведення на належному рівні офіційних та протокольних заходів обласною радою</w:t>
            </w:r>
          </w:p>
        </w:tc>
      </w:tr>
      <w:tr w14:paraId="2E59452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2" w:hRule="atLeast"/>
          <w:jc w:val="center"/>
        </w:trPr>
        <w:tc>
          <w:tcPr>
            <w:tcW w:w="393" w:type="dxa"/>
            <w:vMerge w:val="continu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B918A">
            <w:pPr>
              <w:widowControl w:val="0"/>
              <w:spacing w:line="240" w:lineRule="auto"/>
              <w:ind w:left="270" w:right="-5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510" w:type="dxa"/>
            <w:vMerge w:val="continu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A3BCB">
            <w:pPr>
              <w:spacing w:after="0" w:line="240" w:lineRule="auto"/>
              <w:rPr>
                <w:rFonts w:hint="default" w:ascii="Times New Roman" w:hAnsi="Times New Roman" w:eastAsia="Arial" w:cs="Times New Roman"/>
                <w:b/>
                <w:sz w:val="24"/>
                <w:szCs w:val="24"/>
              </w:rPr>
            </w:pPr>
          </w:p>
        </w:tc>
        <w:tc>
          <w:tcPr>
            <w:tcW w:w="2570" w:type="dxa"/>
            <w:tcBorders>
              <w:top w:val="single" w:color="auto" w:sz="4" w:space="0"/>
              <w:bottom w:val="single" w:color="auto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B11FC">
            <w:pPr>
              <w:spacing w:after="0" w:line="240" w:lineRule="auto"/>
              <w:ind w:right="-79"/>
              <w:jc w:val="both"/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6.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Забезпечення заходів л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ампадк</w:t>
            </w:r>
            <w:r>
              <w:rPr>
                <w:rFonts w:hint="default" w:ascii="Times New Roman" w:hAnsi="Times New Roman" w:eastAsia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uk-UA"/>
              </w:rPr>
              <w:t>ами</w:t>
            </w:r>
          </w:p>
        </w:tc>
        <w:tc>
          <w:tcPr>
            <w:tcW w:w="337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3DE4B2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Затрат</w:t>
            </w:r>
          </w:p>
          <w:p w14:paraId="25608FF2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  <w:t>витрати на закупівлю лампадок, грн</w:t>
            </w:r>
          </w:p>
          <w:p w14:paraId="3EC68AED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Продукту</w:t>
            </w:r>
          </w:p>
          <w:p w14:paraId="0ACB5C35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  <w:t>кількість закуплених лампадок, од.</w:t>
            </w:r>
          </w:p>
          <w:p w14:paraId="3EC8FD7D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Ефективності</w:t>
            </w:r>
          </w:p>
          <w:p w14:paraId="75717FC9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  <w:t xml:space="preserve">середня вартість </w:t>
            </w:r>
            <w:r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  <w:lang w:val="uk-UA"/>
              </w:rPr>
              <w:t>однієї</w:t>
            </w:r>
            <w:r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  <w:t xml:space="preserve"> лампадк</w:t>
            </w:r>
            <w:r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  <w:lang w:val="uk-UA"/>
              </w:rPr>
              <w:t>и</w:t>
            </w:r>
            <w:r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  <w:t>, грн</w:t>
            </w:r>
          </w:p>
          <w:p w14:paraId="5A757DE7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  <w:t>Якості</w:t>
            </w:r>
          </w:p>
          <w:p w14:paraId="768136B7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i/>
                <w:sz w:val="24"/>
                <w:szCs w:val="24"/>
              </w:rPr>
              <w:t>відсоток закуплених лампадок , %</w:t>
            </w:r>
          </w:p>
        </w:tc>
        <w:tc>
          <w:tcPr>
            <w:tcW w:w="188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23A32">
            <w:pPr>
              <w:widowControl w:val="0"/>
              <w:spacing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</w:rPr>
              <w:t>Львівська обласна рада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D5A84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9CA27">
            <w:pPr>
              <w:widowControl w:val="0"/>
              <w:spacing w:line="240" w:lineRule="auto"/>
              <w:ind w:left="10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30,00</w:t>
            </w:r>
          </w:p>
        </w:tc>
        <w:tc>
          <w:tcPr>
            <w:tcW w:w="21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D4693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 w:cs="Times New Roman"/>
                <w:sz w:val="24"/>
                <w:szCs w:val="24"/>
              </w:rPr>
              <w:t>Проведення на належному рівні офіційних та протокольних заходів обласною радою</w:t>
            </w:r>
          </w:p>
        </w:tc>
      </w:tr>
      <w:tr w14:paraId="371AEF7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2" w:hRule="atLeast"/>
          <w:jc w:val="center"/>
        </w:trPr>
        <w:tc>
          <w:tcPr>
            <w:tcW w:w="3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5173B">
            <w:pPr>
              <w:widowControl w:val="0"/>
              <w:numPr>
                <w:ilvl w:val="0"/>
                <w:numId w:val="1"/>
              </w:numPr>
              <w:spacing w:line="240" w:lineRule="auto"/>
              <w:ind w:left="90" w:right="-5" w:firstLine="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25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A1F774">
            <w:pPr>
              <w:spacing w:after="0" w:line="240" w:lineRule="auto"/>
              <w:rPr>
                <w:rFonts w:hint="default" w:ascii="Times New Roman" w:hAnsi="Times New Roman" w:eastAsia="Arial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Відзначення грошовою винагородою мешканців Львівщини</w:t>
            </w:r>
          </w:p>
        </w:tc>
        <w:tc>
          <w:tcPr>
            <w:tcW w:w="2570" w:type="dxa"/>
            <w:tcBorders>
              <w:top w:val="single" w:color="auto" w:sz="4" w:space="0"/>
              <w:bottom w:val="single" w:color="auto" w:sz="4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658B6">
            <w:pPr>
              <w:spacing w:after="0" w:line="240" w:lineRule="auto"/>
              <w:ind w:right="-79"/>
              <w:jc w:val="both"/>
              <w:rPr>
                <w:rFonts w:hint="default"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1.Виплата одноразової грошової допомоги для кращих представників області</w:t>
            </w:r>
          </w:p>
        </w:tc>
        <w:tc>
          <w:tcPr>
            <w:tcW w:w="3372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8BDD5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  <w:t>Затрат</w:t>
            </w:r>
          </w:p>
          <w:p w14:paraId="34292324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/>
                <w:color w:val="000000"/>
                <w:sz w:val="24"/>
                <w:szCs w:val="24"/>
              </w:rPr>
              <w:t>обсяг фінансового ресурсу, спрямованого на виплату грошової винагороди,</w:t>
            </w:r>
          </w:p>
          <w:p w14:paraId="12091138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/>
                <w:color w:val="000000"/>
                <w:sz w:val="24"/>
                <w:szCs w:val="24"/>
              </w:rPr>
              <w:t>тис. грн.</w:t>
            </w:r>
          </w:p>
          <w:p w14:paraId="2874BAED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  <w:t>Продукту</w:t>
            </w:r>
          </w:p>
          <w:p w14:paraId="7B36CE32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/>
                <w:color w:val="000000"/>
                <w:sz w:val="24"/>
                <w:szCs w:val="24"/>
              </w:rPr>
              <w:t>кількість відзначених осіб, од.</w:t>
            </w:r>
          </w:p>
          <w:p w14:paraId="4C648B45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  <w:t>Ефективності</w:t>
            </w:r>
          </w:p>
          <w:p w14:paraId="00F31AE2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/>
                <w:color w:val="000000"/>
                <w:sz w:val="24"/>
                <w:szCs w:val="24"/>
              </w:rPr>
              <w:t>середн</w:t>
            </w:r>
            <w:r>
              <w:rPr>
                <w:rFonts w:hint="default" w:ascii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  <w:t>ій</w:t>
            </w:r>
            <w:r>
              <w:rPr>
                <w:rFonts w:hint="default"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розмір </w:t>
            </w:r>
            <w:r>
              <w:rPr>
                <w:rFonts w:hint="default" w:ascii="Times New Roman" w:hAnsi="Times New Roman" w:cs="Times New Roman"/>
                <w:i/>
                <w:color w:val="000000"/>
                <w:sz w:val="24"/>
                <w:szCs w:val="24"/>
              </w:rPr>
              <w:t>однієї винагороди, тис. грн</w:t>
            </w:r>
          </w:p>
          <w:p w14:paraId="619A2CA7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4"/>
                <w:szCs w:val="24"/>
              </w:rPr>
              <w:t>Якості</w:t>
            </w:r>
          </w:p>
          <w:p w14:paraId="33600302">
            <w:pPr>
              <w:spacing w:after="0" w:line="240" w:lineRule="auto"/>
              <w:ind w:right="-79"/>
              <w:rPr>
                <w:rFonts w:hint="default" w:ascii="Times New Roman" w:hAnsi="Times New Roman" w:eastAsia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/>
                <w:color w:val="000000"/>
                <w:sz w:val="24"/>
                <w:szCs w:val="24"/>
              </w:rPr>
              <w:t>Відсоток виплачених грошових винагород,%</w:t>
            </w:r>
          </w:p>
        </w:tc>
        <w:tc>
          <w:tcPr>
            <w:tcW w:w="188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EB5C84">
            <w:pPr>
              <w:widowControl w:val="0"/>
              <w:spacing w:line="240" w:lineRule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Львівська обласна рада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63B1C">
            <w:pPr>
              <w:pStyle w:val="7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Обласний бюджет</w:t>
            </w:r>
          </w:p>
          <w:p w14:paraId="7C41CB9A">
            <w:pPr>
              <w:widowControl w:val="0"/>
              <w:spacing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EADA5B">
            <w:pPr>
              <w:widowControl w:val="0"/>
              <w:spacing w:line="240" w:lineRule="auto"/>
              <w:ind w:left="10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4"/>
              </w:rPr>
              <w:t>1000,00</w:t>
            </w:r>
          </w:p>
        </w:tc>
        <w:tc>
          <w:tcPr>
            <w:tcW w:w="21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D1BE9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Arial"/>
                <w:sz w:val="24"/>
                <w:szCs w:val="24"/>
              </w:rPr>
              <w:t>Належне відзначення мешканців Львівщини за особистий внесок у зміцнення обороноздатності країни, активну громадську та волонтерсьтку діяльність</w:t>
            </w:r>
          </w:p>
        </w:tc>
      </w:tr>
      <w:tr w14:paraId="34AC6D6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169" w:type="dxa"/>
            <w:gridSpan w:val="6"/>
            <w:tcBorders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F6425">
            <w:pPr>
              <w:widowControl w:val="0"/>
              <w:spacing w:line="240" w:lineRule="auto"/>
              <w:ind w:left="100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</w:rPr>
              <w:t>УСЬОГО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4"/>
                <w:szCs w:val="24"/>
                <w:lang w:val="en-US"/>
              </w:rPr>
              <w:t xml:space="preserve"> ЗА ПРОГРАМОЮ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851A9">
            <w:pPr>
              <w:widowControl w:val="0"/>
              <w:spacing w:line="240" w:lineRule="auto"/>
              <w:ind w:left="100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>7 30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en-US"/>
              </w:rPr>
              <w:t>0,00</w:t>
            </w:r>
          </w:p>
        </w:tc>
        <w:tc>
          <w:tcPr>
            <w:tcW w:w="217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10216">
            <w:pPr>
              <w:spacing w:after="0" w:line="240" w:lineRule="auto"/>
              <w:rPr>
                <w:rFonts w:hint="default" w:ascii="Times New Roman" w:hAnsi="Times New Roman" w:eastAsia="Arial" w:cs="Times New Roman"/>
                <w:sz w:val="24"/>
                <w:szCs w:val="24"/>
              </w:rPr>
            </w:pPr>
          </w:p>
        </w:tc>
      </w:tr>
    </w:tbl>
    <w:p w14:paraId="54D1EFB1">
      <w:pPr>
        <w:pStyle w:val="6"/>
        <w:spacing w:line="240" w:lineRule="auto"/>
        <w:ind w:left="-220" w:leftChars="-100"/>
        <w:jc w:val="both"/>
        <w:rPr>
          <w:rFonts w:hint="default" w:ascii="Times New Roman" w:hAnsi="Times New Roman" w:eastAsia="Times New Roman" w:cs="Times New Roman"/>
          <w:b/>
          <w:sz w:val="28"/>
          <w:szCs w:val="28"/>
        </w:rPr>
      </w:pPr>
    </w:p>
    <w:p w14:paraId="32163AD1">
      <w:pPr>
        <w:pStyle w:val="6"/>
        <w:spacing w:line="240" w:lineRule="auto"/>
        <w:ind w:left="-440" w:leftChars="-200" w:firstLine="0" w:firstLineChars="0"/>
        <w:rPr>
          <w:rFonts w:hint="default" w:ascii="Times New Roman" w:hAnsi="Times New Roman" w:eastAsia="Times New Roman" w:cs="Times New Roman"/>
          <w:b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</w:rPr>
        <w:t xml:space="preserve">Директор департаменту комунікацій </w:t>
      </w:r>
    </w:p>
    <w:p w14:paraId="62BA347A">
      <w:pPr>
        <w:pStyle w:val="6"/>
        <w:spacing w:line="240" w:lineRule="auto"/>
        <w:ind w:left="-440" w:leftChars="-200" w:firstLine="0" w:firstLineChars="0"/>
        <w:rPr>
          <w:rFonts w:hint="default" w:ascii="Times New Roman" w:hAnsi="Times New Roman" w:eastAsia="Times New Roman" w:cs="Times New Roman"/>
          <w:b/>
          <w:sz w:val="28"/>
          <w:szCs w:val="28"/>
        </w:rPr>
        <w:sectPr>
          <w:pgSz w:w="16838" w:h="11906" w:orient="landscape"/>
          <w:pgMar w:top="851" w:right="1440" w:bottom="426" w:left="1440" w:header="720" w:footer="720" w:gutter="0"/>
          <w:cols w:space="720" w:num="1"/>
          <w:docGrid w:linePitch="360" w:charSpace="0"/>
        </w:sectPr>
      </w:pPr>
      <w:r>
        <w:rPr>
          <w:rFonts w:hint="default" w:ascii="Times New Roman" w:hAnsi="Times New Roman" w:eastAsia="Times New Roman" w:cs="Times New Roman"/>
          <w:b/>
          <w:sz w:val="28"/>
          <w:szCs w:val="28"/>
        </w:rPr>
        <w:t xml:space="preserve">та внутрішньої політики облдержадміністрації </w:t>
      </w:r>
      <w:r>
        <w:rPr>
          <w:rFonts w:hint="default" w:ascii="Times New Roman" w:hAnsi="Times New Roman" w:eastAsia="Times New Roman" w:cs="Times New Roman"/>
          <w:b/>
          <w:sz w:val="28"/>
          <w:szCs w:val="28"/>
        </w:rPr>
        <w:tab/>
      </w:r>
      <w:r>
        <w:rPr>
          <w:rFonts w:hint="default" w:ascii="Times New Roman" w:hAnsi="Times New Roman" w:eastAsia="Times New Roman" w:cs="Times New Roman"/>
          <w:b/>
          <w:sz w:val="28"/>
          <w:szCs w:val="28"/>
        </w:rPr>
        <w:tab/>
      </w:r>
      <w:bookmarkStart w:id="0" w:name="_GoBack"/>
      <w:bookmarkEnd w:id="0"/>
      <w:r>
        <w:rPr>
          <w:rFonts w:hint="default" w:ascii="Times New Roman" w:hAnsi="Times New Roman" w:eastAsia="Times New Roman" w:cs="Times New Roman"/>
          <w:b/>
          <w:sz w:val="28"/>
          <w:szCs w:val="28"/>
        </w:rPr>
        <w:tab/>
      </w:r>
      <w:r>
        <w:rPr>
          <w:rFonts w:hint="default" w:ascii="Times New Roman" w:hAnsi="Times New Roman" w:eastAsia="Times New Roman" w:cs="Times New Roman"/>
          <w:b/>
          <w:sz w:val="28"/>
          <w:szCs w:val="28"/>
        </w:rPr>
        <w:tab/>
      </w:r>
      <w:r>
        <w:rPr>
          <w:rFonts w:hint="default" w:ascii="Times New Roman" w:hAnsi="Times New Roman" w:eastAsia="Times New Roman" w:cs="Times New Roman"/>
          <w:b/>
          <w:sz w:val="28"/>
          <w:szCs w:val="28"/>
        </w:rPr>
        <w:tab/>
      </w:r>
      <w:r>
        <w:rPr>
          <w:rFonts w:hint="default" w:ascii="Times New Roman" w:hAnsi="Times New Roman" w:eastAsia="Times New Roman" w:cs="Times New Roman"/>
          <w:b/>
          <w:sz w:val="28"/>
          <w:szCs w:val="28"/>
        </w:rPr>
        <w:t xml:space="preserve">                          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val="uk-UA"/>
        </w:rPr>
        <w:t xml:space="preserve">                      </w:t>
      </w:r>
      <w:r>
        <w:rPr>
          <w:rFonts w:hint="default" w:ascii="Times New Roman" w:hAnsi="Times New Roman" w:eastAsia="Times New Roman" w:cs="Times New Roman"/>
          <w:b/>
          <w:sz w:val="28"/>
          <w:szCs w:val="28"/>
        </w:rPr>
        <w:t xml:space="preserve"> Юрій ГОРУН</w:t>
      </w:r>
    </w:p>
    <w:p w14:paraId="03FBFA13"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SimSun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E2D807"/>
    <w:multiLevelType w:val="singleLevel"/>
    <w:tmpl w:val="DEE2D807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5857E0B"/>
    <w:multiLevelType w:val="multilevel"/>
    <w:tmpl w:val="05857E0B"/>
    <w:lvl w:ilvl="0" w:tentative="0">
      <w:start w:val="1"/>
      <w:numFmt w:val="decimal"/>
      <w:lvlText w:val="%1."/>
      <w:lvlJc w:val="left"/>
      <w:pPr>
        <w:ind w:left="630" w:hanging="360"/>
      </w:pPr>
      <w:rPr>
        <w:u w:val="none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entative="0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entative="0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entative="0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hyphenationZone w:val="425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C21"/>
    <w:rsid w:val="000720DC"/>
    <w:rsid w:val="001D0E7B"/>
    <w:rsid w:val="001F1E1C"/>
    <w:rsid w:val="00217472"/>
    <w:rsid w:val="002C1020"/>
    <w:rsid w:val="00307E12"/>
    <w:rsid w:val="00346E2D"/>
    <w:rsid w:val="00406070"/>
    <w:rsid w:val="004416C5"/>
    <w:rsid w:val="004629BB"/>
    <w:rsid w:val="004B531D"/>
    <w:rsid w:val="004C590F"/>
    <w:rsid w:val="0053042E"/>
    <w:rsid w:val="00566A12"/>
    <w:rsid w:val="00691061"/>
    <w:rsid w:val="006E36D2"/>
    <w:rsid w:val="0070164D"/>
    <w:rsid w:val="00773C5C"/>
    <w:rsid w:val="0078719C"/>
    <w:rsid w:val="00790B9B"/>
    <w:rsid w:val="007B33A1"/>
    <w:rsid w:val="008176AD"/>
    <w:rsid w:val="0083661C"/>
    <w:rsid w:val="008479CC"/>
    <w:rsid w:val="00873DF9"/>
    <w:rsid w:val="00921BA6"/>
    <w:rsid w:val="009906F4"/>
    <w:rsid w:val="009F791C"/>
    <w:rsid w:val="00A843E5"/>
    <w:rsid w:val="00AA1A1E"/>
    <w:rsid w:val="00AC21C6"/>
    <w:rsid w:val="00AC3483"/>
    <w:rsid w:val="00AF6C21"/>
    <w:rsid w:val="00B80F26"/>
    <w:rsid w:val="00C163EE"/>
    <w:rsid w:val="00C16DCD"/>
    <w:rsid w:val="00C62B6D"/>
    <w:rsid w:val="00CA26C2"/>
    <w:rsid w:val="00CC4B3E"/>
    <w:rsid w:val="00D03D44"/>
    <w:rsid w:val="00D2725F"/>
    <w:rsid w:val="00D311F8"/>
    <w:rsid w:val="00DA0EF4"/>
    <w:rsid w:val="00EF0CC6"/>
    <w:rsid w:val="00F83C78"/>
    <w:rsid w:val="00FC2DDA"/>
    <w:rsid w:val="12EF0AC6"/>
    <w:rsid w:val="3F5849AE"/>
    <w:rsid w:val="3FEB20B9"/>
    <w:rsid w:val="4000720A"/>
    <w:rsid w:val="4C16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uk-UA" w:eastAsia="uk-UA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6">
    <w:name w:val="Звичайний2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uk-UA" w:eastAsia="uk-UA" w:bidi="ar-SA"/>
    </w:rPr>
  </w:style>
  <w:style w:type="paragraph" w:customStyle="1" w:styleId="7">
    <w:name w:val="Normal1"/>
    <w:semiHidden/>
    <w:qFormat/>
    <w:uiPriority w:val="0"/>
    <w:pPr>
      <w:spacing w:before="100" w:beforeAutospacing="1" w:after="100" w:afterAutospacing="1" w:line="273" w:lineRule="auto"/>
    </w:pPr>
    <w:rPr>
      <w:rFonts w:ascii="Calibri" w:hAnsi="Calibri" w:eastAsia="DengXian" w:cs="Times New Roman"/>
      <w:sz w:val="24"/>
      <w:szCs w:val="24"/>
      <w:lang w:val="uk-UA" w:eastAsia="uk-UA" w:bidi="ar-SA"/>
    </w:rPr>
  </w:style>
  <w:style w:type="paragraph" w:styleId="8">
    <w:name w:val="List Paragraph"/>
    <w:basedOn w:val="1"/>
    <w:unhideWhenUsed/>
    <w:qFormat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2018</Words>
  <Characters>11505</Characters>
  <Lines>95</Lines>
  <Paragraphs>26</Paragraphs>
  <TotalTime>11</TotalTime>
  <ScaleCrop>false</ScaleCrop>
  <LinksUpToDate>false</LinksUpToDate>
  <CharactersWithSpaces>13497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2025-12-03T09:48:00Z</dcterms:created>
  <dc:creator>zahod</dc:creator>
  <cp:lastModifiedBy>zahod</cp:lastModifiedBy>
  <dcterms:modified xsi:type="dcterms:W3CDTF">2025-12-30T11:02:44Z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BE605FB93B204B9189E41854358076BB_12</vt:lpwstr>
  </property>
</Properties>
</file>